
<file path=[Content_Types].xml><?xml version="1.0" encoding="utf-8"?>
<Types xmlns="http://schemas.openxmlformats.org/package/2006/content-types">
  <Default Extension="xml" ContentType="application/xml"/>
  <Default Extension="xlsx" ContentType="application/vnd.openxmlformats-officedocument.spreadsheetml.sheet"/>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hd w:val="clear" w:color="auto" w:fill="FFFFFF"/>
        <w:spacing w:beforeAutospacing="0" w:afterAutospacing="0" w:line="620" w:lineRule="exact"/>
        <w:ind w:firstLine="420" w:firstLineChars="0"/>
        <w:jc w:val="center"/>
        <w:rPr>
          <w:rFonts w:hint="eastAsia" w:ascii="Times New Roman" w:hAnsi="Times New Roman" w:eastAsia="方正小标宋简体" w:cs="方正小标宋简体"/>
          <w:sz w:val="44"/>
          <w:szCs w:val="44"/>
          <w:lang w:val="en-US" w:eastAsia="zh-CN"/>
        </w:rPr>
      </w:pPr>
      <w:r>
        <w:rPr>
          <w:rFonts w:hint="eastAsia" w:ascii="Times New Roman" w:hAnsi="方正小标宋简体" w:eastAsia="方正小标宋简体" w:cs="方正小标宋简体"/>
          <w:sz w:val="44"/>
          <w:szCs w:val="44"/>
          <w:shd w:val="clear" w:color="auto" w:fill="FFFFFF"/>
        </w:rPr>
        <w:t>淄博市张店区残疾人联合会</w:t>
      </w:r>
      <w:r>
        <w:rPr>
          <w:rFonts w:hint="eastAsia" w:ascii="Times New Roman" w:hAnsi="方正小标宋简体" w:eastAsia="方正小标宋简体" w:cs="方正小标宋简体"/>
          <w:sz w:val="44"/>
          <w:szCs w:val="44"/>
          <w:shd w:val="clear" w:color="auto" w:fill="FFFFFF"/>
          <w:lang w:eastAsia="zh-CN"/>
        </w:rPr>
        <w:t>机关</w:t>
      </w:r>
    </w:p>
    <w:p>
      <w:pPr>
        <w:pStyle w:val="4"/>
        <w:widowControl/>
        <w:shd w:val="clear" w:color="auto" w:fill="FFFFFF"/>
        <w:spacing w:beforeAutospacing="0" w:afterAutospacing="0" w:line="620" w:lineRule="exact"/>
        <w:jc w:val="center"/>
        <w:rPr>
          <w:rFonts w:ascii="Times New Roman" w:hAnsi="Times New Roman" w:eastAsia="方正小标宋简体" w:cs="方正小标宋简体"/>
          <w:sz w:val="44"/>
          <w:szCs w:val="44"/>
        </w:rPr>
      </w:pPr>
      <w:r>
        <w:rPr>
          <w:rFonts w:hint="eastAsia" w:ascii="Times New Roman" w:hAnsi="Times New Roman" w:eastAsia="方正小标宋简体" w:cs="方正小标宋简体"/>
          <w:sz w:val="44"/>
          <w:szCs w:val="44"/>
          <w:shd w:val="clear" w:color="auto" w:fill="FFFFFF"/>
        </w:rPr>
        <w:t>20</w:t>
      </w:r>
      <w:r>
        <w:rPr>
          <w:rFonts w:hint="eastAsia" w:ascii="Times New Roman" w:hAnsi="Times New Roman" w:eastAsia="方正小标宋简体" w:cs="方正小标宋简体"/>
          <w:sz w:val="44"/>
          <w:szCs w:val="44"/>
          <w:shd w:val="clear" w:color="auto" w:fill="FFFFFF"/>
          <w:lang w:val="en-US" w:eastAsia="zh-CN"/>
        </w:rPr>
        <w:t>21</w:t>
      </w:r>
      <w:r>
        <w:rPr>
          <w:rFonts w:hint="eastAsia" w:ascii="Times New Roman" w:hAnsi="方正小标宋简体" w:eastAsia="方正小标宋简体" w:cs="方正小标宋简体"/>
          <w:sz w:val="44"/>
          <w:szCs w:val="44"/>
          <w:shd w:val="clear" w:color="auto" w:fill="FFFFFF"/>
        </w:rPr>
        <w:t>年政府信息公开工作年度报告</w:t>
      </w:r>
    </w:p>
    <w:p>
      <w:pPr>
        <w:pStyle w:val="4"/>
        <w:widowControl/>
        <w:shd w:val="clear" w:color="auto" w:fill="FFFFFF"/>
        <w:spacing w:beforeAutospacing="0" w:afterAutospacing="0" w:line="620" w:lineRule="exact"/>
        <w:ind w:firstLine="420"/>
        <w:jc w:val="both"/>
        <w:rPr>
          <w:rFonts w:ascii="Times New Roman" w:hAnsi="Times New Roman" w:eastAsia="宋体" w:cs="宋体"/>
          <w:sz w:val="28"/>
          <w:szCs w:val="28"/>
        </w:rPr>
      </w:pPr>
    </w:p>
    <w:p>
      <w:pPr>
        <w:spacing w:line="560" w:lineRule="exact"/>
        <w:ind w:firstLine="640" w:firstLineChars="200"/>
        <w:jc w:val="both"/>
        <w:rPr>
          <w:rFonts w:hint="eastAsia" w:ascii="Times New Roman" w:hAnsi="Times New Roman" w:eastAsia="仿宋_GB2312" w:cs="Times New Roman"/>
          <w:color w:val="000000"/>
          <w:sz w:val="32"/>
          <w:szCs w:val="32"/>
        </w:rPr>
      </w:pPr>
      <w:r>
        <w:rPr>
          <w:rFonts w:ascii="Times New Roman" w:hAnsi="Calibri" w:eastAsia="仿宋_GB2312" w:cs="Times New Roman"/>
          <w:color w:val="000000"/>
          <w:sz w:val="32"/>
          <w:szCs w:val="32"/>
        </w:rPr>
        <w:t>本报告由张店区</w:t>
      </w:r>
      <w:r>
        <w:rPr>
          <w:rFonts w:hint="eastAsia" w:ascii="Times New Roman" w:hAnsi="Calibri" w:eastAsia="仿宋_GB2312" w:cs="Times New Roman"/>
          <w:color w:val="000000"/>
          <w:sz w:val="32"/>
          <w:szCs w:val="32"/>
        </w:rPr>
        <w:t>残疾人联合会</w:t>
      </w:r>
      <w:r>
        <w:rPr>
          <w:rFonts w:ascii="Times New Roman" w:hAnsi="Calibri" w:eastAsia="仿宋_GB2312" w:cs="Times New Roman"/>
          <w:color w:val="000000"/>
          <w:sz w:val="32"/>
          <w:szCs w:val="32"/>
        </w:rPr>
        <w:t>按照《中华人民共和国政府信息公开条例》、《山东省政府信息公开办法》、《淄博市政府信息公开规定》要求编制。所列数据的统计期限是</w:t>
      </w:r>
      <w:r>
        <w:rPr>
          <w:rFonts w:ascii="Times New Roman" w:hAnsi="Times New Roman" w:eastAsia="仿宋_GB2312" w:cs="Times New Roman"/>
          <w:color w:val="000000"/>
          <w:sz w:val="32"/>
          <w:szCs w:val="32"/>
        </w:rPr>
        <w:t>20</w:t>
      </w:r>
      <w:r>
        <w:rPr>
          <w:rFonts w:hint="eastAsia" w:ascii="Times New Roman" w:hAnsi="Times New Roman" w:eastAsia="仿宋_GB2312" w:cs="Times New Roman"/>
          <w:color w:val="000000"/>
          <w:sz w:val="32"/>
          <w:szCs w:val="32"/>
          <w:lang w:val="en-US" w:eastAsia="zh-CN"/>
        </w:rPr>
        <w:t>21</w:t>
      </w:r>
      <w:r>
        <w:rPr>
          <w:rFonts w:ascii="Times New Roman" w:hAnsi="Calibri" w:eastAsia="仿宋_GB2312" w:cs="Times New Roman"/>
          <w:color w:val="000000"/>
          <w:sz w:val="32"/>
          <w:szCs w:val="32"/>
        </w:rPr>
        <w:t>年</w:t>
      </w:r>
      <w:r>
        <w:rPr>
          <w:rFonts w:ascii="Times New Roman" w:hAnsi="Times New Roman" w:eastAsia="仿宋_GB2312" w:cs="Times New Roman"/>
          <w:color w:val="000000"/>
          <w:sz w:val="32"/>
          <w:szCs w:val="32"/>
        </w:rPr>
        <w:t>1</w:t>
      </w:r>
      <w:r>
        <w:rPr>
          <w:rFonts w:ascii="Times New Roman" w:hAnsi="Calibri" w:eastAsia="仿宋_GB2312" w:cs="Times New Roman"/>
          <w:color w:val="000000"/>
          <w:sz w:val="32"/>
          <w:szCs w:val="32"/>
        </w:rPr>
        <w:t>月</w:t>
      </w:r>
      <w:r>
        <w:rPr>
          <w:rFonts w:ascii="Times New Roman" w:hAnsi="Times New Roman" w:eastAsia="仿宋_GB2312" w:cs="Times New Roman"/>
          <w:color w:val="000000"/>
          <w:sz w:val="32"/>
          <w:szCs w:val="32"/>
        </w:rPr>
        <w:t>1</w:t>
      </w:r>
      <w:r>
        <w:rPr>
          <w:rFonts w:ascii="Times New Roman" w:hAnsi="Calibri" w:eastAsia="仿宋_GB2312" w:cs="Times New Roman"/>
          <w:color w:val="000000"/>
          <w:sz w:val="32"/>
          <w:szCs w:val="32"/>
        </w:rPr>
        <w:t>日至</w:t>
      </w:r>
      <w:r>
        <w:rPr>
          <w:rFonts w:ascii="Times New Roman" w:hAnsi="Times New Roman" w:eastAsia="仿宋_GB2312" w:cs="Times New Roman"/>
          <w:color w:val="000000"/>
          <w:sz w:val="32"/>
          <w:szCs w:val="32"/>
        </w:rPr>
        <w:t>20</w:t>
      </w:r>
      <w:r>
        <w:rPr>
          <w:rFonts w:hint="eastAsia" w:ascii="Times New Roman" w:hAnsi="Times New Roman" w:eastAsia="仿宋_GB2312" w:cs="Times New Roman"/>
          <w:color w:val="000000"/>
          <w:sz w:val="32"/>
          <w:szCs w:val="32"/>
          <w:lang w:val="en-US" w:eastAsia="zh-CN"/>
        </w:rPr>
        <w:t>21</w:t>
      </w:r>
      <w:r>
        <w:rPr>
          <w:rFonts w:ascii="Times New Roman" w:hAnsi="Calibri" w:eastAsia="仿宋_GB2312" w:cs="Times New Roman"/>
          <w:color w:val="000000"/>
          <w:sz w:val="32"/>
          <w:szCs w:val="32"/>
        </w:rPr>
        <w:t>年</w:t>
      </w:r>
      <w:r>
        <w:rPr>
          <w:rFonts w:ascii="Times New Roman" w:hAnsi="Times New Roman" w:eastAsia="仿宋_GB2312" w:cs="Times New Roman"/>
          <w:color w:val="000000"/>
          <w:sz w:val="32"/>
          <w:szCs w:val="32"/>
        </w:rPr>
        <w:t>12</w:t>
      </w:r>
      <w:r>
        <w:rPr>
          <w:rFonts w:ascii="Times New Roman" w:hAnsi="Calibri" w:eastAsia="仿宋_GB2312" w:cs="Times New Roman"/>
          <w:color w:val="000000"/>
          <w:sz w:val="32"/>
          <w:szCs w:val="32"/>
        </w:rPr>
        <w:t>月</w:t>
      </w:r>
      <w:r>
        <w:rPr>
          <w:rFonts w:ascii="Times New Roman" w:hAnsi="Times New Roman" w:eastAsia="仿宋_GB2312" w:cs="Times New Roman"/>
          <w:color w:val="000000"/>
          <w:sz w:val="32"/>
          <w:szCs w:val="32"/>
        </w:rPr>
        <w:t>31</w:t>
      </w:r>
      <w:r>
        <w:rPr>
          <w:rFonts w:ascii="Times New Roman" w:hAnsi="Calibri" w:eastAsia="仿宋_GB2312" w:cs="Times New Roman"/>
          <w:color w:val="000000"/>
          <w:sz w:val="32"/>
          <w:szCs w:val="32"/>
        </w:rPr>
        <w:t>日。本报告电子版可在</w:t>
      </w:r>
      <w:r>
        <w:rPr>
          <w:rFonts w:hint="eastAsia" w:ascii="Times New Roman" w:hAnsi="Calibri" w:eastAsia="仿宋_GB2312" w:cs="Times New Roman"/>
          <w:color w:val="000000"/>
          <w:sz w:val="32"/>
          <w:szCs w:val="32"/>
          <w:lang w:eastAsia="zh-CN"/>
        </w:rPr>
        <w:t>张店区政务公开</w:t>
      </w:r>
      <w:r>
        <w:rPr>
          <w:rFonts w:ascii="Times New Roman" w:hAnsi="Calibri" w:eastAsia="仿宋_GB2312" w:cs="Times New Roman"/>
          <w:color w:val="000000"/>
          <w:sz w:val="32"/>
          <w:szCs w:val="32"/>
        </w:rPr>
        <w:t>网站查阅或下载（网址</w:t>
      </w:r>
      <w:r>
        <w:rPr>
          <w:rFonts w:hint="eastAsia" w:ascii="Times New Roman" w:hAnsi="Calibri" w:eastAsia="仿宋_GB2312" w:cs="Times New Roman"/>
          <w:color w:val="000000"/>
          <w:sz w:val="32"/>
          <w:szCs w:val="32"/>
        </w:rPr>
        <w:t>：</w:t>
      </w:r>
      <w:r>
        <w:rPr>
          <w:rFonts w:hint="eastAsia" w:ascii="Times New Roman" w:hAnsi="Times New Roman" w:eastAsia="仿宋_GB2312" w:cs="Times New Roman"/>
          <w:color w:val="000000"/>
          <w:sz w:val="32"/>
          <w:szCs w:val="32"/>
        </w:rPr>
        <w:t>http://www.zhangdian.gov.cn/gongkai/site_zdqcjrlhh</w:t>
      </w:r>
      <w:r>
        <w:rPr>
          <w:rFonts w:ascii="Times New Roman" w:hAnsi="Calibri" w:eastAsia="仿宋_GB2312" w:cs="Times New Roman"/>
          <w:color w:val="000000"/>
          <w:sz w:val="32"/>
          <w:szCs w:val="32"/>
        </w:rPr>
        <w:t>）。如对报告内容有疑问，请与</w:t>
      </w:r>
      <w:r>
        <w:rPr>
          <w:rFonts w:hint="eastAsia" w:ascii="Times New Roman" w:hAnsi="Calibri" w:eastAsia="仿宋_GB2312" w:cs="Times New Roman"/>
          <w:color w:val="000000"/>
          <w:sz w:val="32"/>
          <w:szCs w:val="32"/>
        </w:rPr>
        <w:t>淄博市张店区残疾人联合会</w:t>
      </w:r>
      <w:r>
        <w:rPr>
          <w:rFonts w:hint="eastAsia" w:ascii="Times New Roman" w:hAnsi="Calibri" w:eastAsia="仿宋_GB2312" w:cs="Times New Roman"/>
          <w:color w:val="000000"/>
          <w:sz w:val="32"/>
          <w:szCs w:val="32"/>
          <w:lang w:eastAsia="zh-CN"/>
        </w:rPr>
        <w:t>机关</w:t>
      </w:r>
      <w:r>
        <w:rPr>
          <w:rFonts w:ascii="Times New Roman" w:hAnsi="Calibri" w:eastAsia="仿宋_GB2312" w:cs="Times New Roman"/>
          <w:color w:val="000000"/>
          <w:sz w:val="32"/>
          <w:szCs w:val="32"/>
        </w:rPr>
        <w:t>联系（地址：张店区新村西路</w:t>
      </w:r>
      <w:r>
        <w:rPr>
          <w:rFonts w:ascii="Times New Roman" w:hAnsi="Times New Roman" w:eastAsia="仿宋_GB2312" w:cs="Times New Roman"/>
          <w:color w:val="000000"/>
          <w:sz w:val="32"/>
          <w:szCs w:val="32"/>
        </w:rPr>
        <w:t>226</w:t>
      </w:r>
      <w:r>
        <w:rPr>
          <w:rFonts w:ascii="Times New Roman" w:hAnsi="Calibri" w:eastAsia="仿宋_GB2312" w:cs="Times New Roman"/>
          <w:color w:val="000000"/>
          <w:sz w:val="32"/>
          <w:szCs w:val="32"/>
        </w:rPr>
        <w:t>号区政务中心</w:t>
      </w:r>
      <w:r>
        <w:rPr>
          <w:rFonts w:hint="eastAsia" w:ascii="Times New Roman" w:hAnsi="Times New Roman" w:eastAsia="仿宋_GB2312" w:cs="Times New Roman"/>
          <w:color w:val="000000"/>
          <w:sz w:val="32"/>
          <w:szCs w:val="32"/>
          <w:lang w:val="en-US" w:eastAsia="zh-CN"/>
        </w:rPr>
        <w:t>517房间</w:t>
      </w:r>
      <w:r>
        <w:rPr>
          <w:rFonts w:hint="eastAsia" w:ascii="Times New Roman" w:hAnsi="Calibri" w:eastAsia="仿宋_GB2312" w:cs="Times New Roman"/>
          <w:color w:val="000000"/>
          <w:sz w:val="32"/>
          <w:szCs w:val="32"/>
        </w:rPr>
        <w:t>；</w:t>
      </w:r>
      <w:r>
        <w:rPr>
          <w:rFonts w:ascii="Times New Roman" w:hAnsi="Calibri" w:eastAsia="仿宋_GB2312" w:cs="Times New Roman"/>
          <w:color w:val="000000"/>
          <w:sz w:val="32"/>
          <w:szCs w:val="32"/>
        </w:rPr>
        <w:t>邮编</w:t>
      </w:r>
      <w:r>
        <w:rPr>
          <w:rFonts w:ascii="Times New Roman" w:hAnsi="Times New Roman" w:eastAsia="仿宋_GB2312" w:cs="Times New Roman"/>
          <w:color w:val="000000"/>
          <w:sz w:val="32"/>
          <w:szCs w:val="32"/>
        </w:rPr>
        <w:t>:255020</w:t>
      </w:r>
      <w:r>
        <w:rPr>
          <w:rFonts w:hint="eastAsia" w:ascii="Times New Roman" w:hAnsi="Calibri" w:eastAsia="仿宋_GB2312" w:cs="Times New Roman"/>
          <w:color w:val="000000"/>
          <w:sz w:val="32"/>
          <w:szCs w:val="32"/>
        </w:rPr>
        <w:t>；</w:t>
      </w:r>
      <w:r>
        <w:rPr>
          <w:rFonts w:ascii="Times New Roman" w:hAnsi="Calibri" w:eastAsia="仿宋_GB2312" w:cs="Times New Roman"/>
          <w:color w:val="000000"/>
          <w:sz w:val="32"/>
          <w:szCs w:val="32"/>
        </w:rPr>
        <w:t>电话</w:t>
      </w:r>
      <w:r>
        <w:rPr>
          <w:rFonts w:ascii="Times New Roman" w:hAnsi="Times New Roman" w:eastAsia="仿宋_GB2312" w:cs="Times New Roman"/>
          <w:color w:val="000000"/>
          <w:sz w:val="32"/>
          <w:szCs w:val="32"/>
        </w:rPr>
        <w:t>:0533-2</w:t>
      </w:r>
      <w:r>
        <w:rPr>
          <w:rFonts w:hint="eastAsia" w:ascii="Times New Roman" w:hAnsi="Times New Roman" w:eastAsia="仿宋_GB2312" w:cs="Times New Roman"/>
          <w:color w:val="000000"/>
          <w:sz w:val="32"/>
          <w:szCs w:val="32"/>
        </w:rPr>
        <w:t>212161</w:t>
      </w:r>
      <w:r>
        <w:rPr>
          <w:rFonts w:hint="eastAsia" w:ascii="Times New Roman" w:hAnsi="Calibri" w:eastAsia="仿宋_GB2312" w:cs="Times New Roman"/>
          <w:color w:val="000000"/>
          <w:sz w:val="32"/>
          <w:szCs w:val="32"/>
        </w:rPr>
        <w:t>；</w:t>
      </w:r>
      <w:r>
        <w:rPr>
          <w:rFonts w:ascii="Times New Roman" w:hAnsi="Calibri" w:eastAsia="仿宋_GB2312" w:cs="Times New Roman"/>
          <w:color w:val="000000"/>
          <w:sz w:val="32"/>
          <w:szCs w:val="32"/>
        </w:rPr>
        <w:t>电子邮箱</w:t>
      </w:r>
      <w:r>
        <w:rPr>
          <w:rFonts w:ascii="Times New Roman" w:hAnsi="Times New Roman" w:eastAsia="仿宋_GB2312" w:cs="Times New Roman"/>
          <w:color w:val="000000"/>
          <w:sz w:val="32"/>
          <w:szCs w:val="32"/>
        </w:rPr>
        <w:t>: zdqclbgs@zb.shandong.cn</w:t>
      </w:r>
      <w:r>
        <w:rPr>
          <w:rFonts w:hint="eastAsia" w:ascii="Times New Roman" w:hAnsi="Calibri" w:eastAsia="仿宋_GB2312" w:cs="Times New Roman"/>
          <w:color w:val="000000"/>
          <w:sz w:val="32"/>
          <w:szCs w:val="32"/>
        </w:rPr>
        <w:t>）</w:t>
      </w:r>
      <w:r>
        <w:rPr>
          <w:rFonts w:ascii="Times New Roman" w:hAnsi="Calibri" w:eastAsia="仿宋_GB2312" w:cs="Times New Roman"/>
          <w:color w:val="000000"/>
          <w:sz w:val="32"/>
          <w:szCs w:val="32"/>
        </w:rPr>
        <w:t>。</w:t>
      </w:r>
      <w:r>
        <w:rPr>
          <w:rFonts w:hint="eastAsia" w:ascii="Times New Roman" w:hAnsi="Times New Roman" w:eastAsia="仿宋_GB2312" w:cs="Times New Roman"/>
          <w:color w:val="000000"/>
          <w:sz w:val="32"/>
          <w:szCs w:val="32"/>
        </w:rPr>
        <w:t> </w:t>
      </w:r>
    </w:p>
    <w:p>
      <w:pPr>
        <w:spacing w:line="560" w:lineRule="exact"/>
        <w:ind w:firstLine="640" w:firstLineChars="200"/>
        <w:rPr>
          <w:rFonts w:ascii="Times New Roman" w:hAnsi="Times New Roman" w:eastAsia="宋体" w:cs="宋体"/>
          <w:color w:val="222222"/>
          <w:kern w:val="0"/>
          <w:sz w:val="24"/>
        </w:rPr>
      </w:pPr>
      <w:r>
        <w:rPr>
          <w:rFonts w:hint="eastAsia" w:ascii="Times New Roman" w:hAnsi="黑体" w:eastAsia="黑体" w:cs="黑体"/>
          <w:sz w:val="32"/>
          <w:szCs w:val="32"/>
          <w:shd w:val="clear" w:color="auto" w:fill="FFFFFF"/>
        </w:rPr>
        <w:t>一、总体情况</w:t>
      </w:r>
    </w:p>
    <w:p>
      <w:pPr>
        <w:spacing w:line="560" w:lineRule="exact"/>
        <w:ind w:firstLine="640" w:firstLineChars="200"/>
        <w:jc w:val="both"/>
        <w:rPr>
          <w:rFonts w:hint="eastAsia" w:ascii="Times New Roman" w:hAnsi="Calibri" w:eastAsia="仿宋_GB2312" w:cs="Times New Roman"/>
          <w:color w:val="000000"/>
          <w:sz w:val="32"/>
          <w:szCs w:val="32"/>
          <w:lang w:eastAsia="zh-CN"/>
        </w:rPr>
      </w:pPr>
      <w:r>
        <w:rPr>
          <w:rFonts w:hint="eastAsia" w:ascii="Times New Roman" w:hAnsi="Calibri" w:eastAsia="仿宋_GB2312" w:cs="Times New Roman"/>
          <w:color w:val="000000"/>
          <w:sz w:val="32"/>
          <w:szCs w:val="32"/>
          <w:lang w:val="en-US" w:eastAsia="zh-CN"/>
        </w:rPr>
        <w:t>2021年张店区残联机关政务公开工作，以残疾人工作为中心，严格</w:t>
      </w:r>
      <w:r>
        <w:rPr>
          <w:rFonts w:hint="eastAsia" w:ascii="Times New Roman" w:hAnsi="Calibri" w:eastAsia="仿宋_GB2312" w:cs="Times New Roman"/>
          <w:color w:val="000000"/>
          <w:sz w:val="32"/>
          <w:szCs w:val="32"/>
        </w:rPr>
        <w:t>按照全国、省、市、区政府</w:t>
      </w:r>
      <w:r>
        <w:rPr>
          <w:rFonts w:hint="eastAsia" w:ascii="Times New Roman" w:hAnsi="Calibri" w:eastAsia="仿宋_GB2312" w:cs="Times New Roman"/>
          <w:color w:val="000000"/>
          <w:sz w:val="32"/>
          <w:szCs w:val="32"/>
          <w:lang w:eastAsia="zh-CN"/>
        </w:rPr>
        <w:t>政务公开工作相关要求，开展政务信息公开工作。区残联机关</w:t>
      </w:r>
      <w:r>
        <w:rPr>
          <w:rFonts w:ascii="Times New Roman" w:hAnsi="Calibri" w:eastAsia="仿宋_GB2312" w:cs="Times New Roman"/>
          <w:color w:val="000000"/>
          <w:sz w:val="32"/>
          <w:szCs w:val="32"/>
        </w:rPr>
        <w:t>不断</w:t>
      </w:r>
      <w:r>
        <w:rPr>
          <w:rFonts w:hint="eastAsia" w:ascii="Times New Roman" w:hAnsi="Calibri" w:eastAsia="仿宋_GB2312" w:cs="Times New Roman"/>
          <w:color w:val="000000"/>
          <w:sz w:val="32"/>
          <w:szCs w:val="32"/>
          <w:lang w:eastAsia="zh-CN"/>
        </w:rPr>
        <w:t>建立健全和完善各项</w:t>
      </w:r>
      <w:r>
        <w:rPr>
          <w:rFonts w:ascii="Times New Roman" w:hAnsi="Calibri" w:eastAsia="仿宋_GB2312" w:cs="Times New Roman"/>
          <w:color w:val="000000"/>
          <w:sz w:val="32"/>
          <w:szCs w:val="32"/>
        </w:rPr>
        <w:t>工作机制，</w:t>
      </w:r>
      <w:r>
        <w:rPr>
          <w:rFonts w:hint="eastAsia" w:ascii="Times New Roman" w:hAnsi="Calibri" w:eastAsia="仿宋_GB2312" w:cs="Times New Roman"/>
          <w:color w:val="000000"/>
          <w:sz w:val="32"/>
          <w:szCs w:val="32"/>
          <w:lang w:eastAsia="zh-CN"/>
        </w:rPr>
        <w:t>全面</w:t>
      </w:r>
      <w:r>
        <w:rPr>
          <w:rFonts w:hint="eastAsia" w:ascii="Times New Roman" w:hAnsi="Calibri" w:eastAsia="仿宋_GB2312" w:cs="Times New Roman"/>
          <w:color w:val="000000"/>
          <w:sz w:val="32"/>
          <w:szCs w:val="32"/>
        </w:rPr>
        <w:t>深化信息公开力度，</w:t>
      </w:r>
      <w:r>
        <w:rPr>
          <w:rFonts w:hint="eastAsia" w:ascii="Times New Roman" w:hAnsi="Calibri" w:eastAsia="仿宋_GB2312" w:cs="Times New Roman"/>
          <w:color w:val="000000"/>
          <w:sz w:val="32"/>
          <w:szCs w:val="32"/>
          <w:lang w:eastAsia="zh-CN"/>
        </w:rPr>
        <w:t>提升信息公开水平，</w:t>
      </w:r>
      <w:r>
        <w:rPr>
          <w:rFonts w:hint="eastAsia" w:ascii="Times New Roman" w:hAnsi="Calibri" w:eastAsia="仿宋_GB2312" w:cs="Times New Roman"/>
          <w:color w:val="000000"/>
          <w:sz w:val="32"/>
          <w:szCs w:val="32"/>
        </w:rPr>
        <w:t>确保</w:t>
      </w:r>
      <w:r>
        <w:rPr>
          <w:rFonts w:hint="eastAsia" w:ascii="Times New Roman" w:hAnsi="Calibri" w:eastAsia="仿宋_GB2312" w:cs="Times New Roman"/>
          <w:color w:val="000000"/>
          <w:sz w:val="32"/>
          <w:szCs w:val="32"/>
          <w:lang w:eastAsia="zh-CN"/>
        </w:rPr>
        <w:t>信息发布及时、准确、有效</w:t>
      </w:r>
      <w:r>
        <w:rPr>
          <w:rFonts w:ascii="Times New Roman" w:hAnsi="Calibri" w:eastAsia="仿宋_GB2312" w:cs="Times New Roman"/>
          <w:color w:val="000000"/>
          <w:sz w:val="32"/>
          <w:szCs w:val="32"/>
        </w:rPr>
        <w:t>。</w:t>
      </w:r>
      <w:r>
        <w:rPr>
          <w:rFonts w:hint="eastAsia" w:ascii="Times New Roman" w:hAnsi="Calibri" w:eastAsia="仿宋_GB2312" w:cs="Times New Roman"/>
          <w:color w:val="000000"/>
          <w:sz w:val="32"/>
          <w:szCs w:val="32"/>
          <w:lang w:val="en-US" w:eastAsia="zh-CN"/>
        </w:rPr>
        <w:t>2021年</w:t>
      </w:r>
      <w:r>
        <w:rPr>
          <w:rFonts w:hint="eastAsia" w:ascii="Times New Roman" w:hAnsi="Calibri" w:eastAsia="仿宋_GB2312" w:cs="Times New Roman"/>
          <w:color w:val="000000"/>
          <w:sz w:val="32"/>
          <w:szCs w:val="32"/>
          <w:lang w:eastAsia="zh-CN"/>
        </w:rPr>
        <w:t>区残联机关政务</w:t>
      </w:r>
      <w:r>
        <w:rPr>
          <w:rFonts w:ascii="Times New Roman" w:hAnsi="Calibri" w:eastAsia="仿宋_GB2312" w:cs="Times New Roman"/>
          <w:color w:val="000000"/>
          <w:sz w:val="32"/>
          <w:szCs w:val="32"/>
        </w:rPr>
        <w:t>信息公开工作运行正常，</w:t>
      </w:r>
      <w:r>
        <w:rPr>
          <w:rFonts w:hint="eastAsia" w:ascii="Times New Roman" w:hAnsi="Calibri" w:eastAsia="仿宋_GB2312" w:cs="Times New Roman"/>
          <w:color w:val="000000"/>
          <w:sz w:val="32"/>
          <w:szCs w:val="32"/>
          <w:lang w:eastAsia="zh-CN"/>
        </w:rPr>
        <w:t>兼职政务信息公开人员</w:t>
      </w:r>
      <w:r>
        <w:rPr>
          <w:rFonts w:hint="eastAsia" w:ascii="Times New Roman" w:hAnsi="Calibri" w:eastAsia="仿宋_GB2312" w:cs="Times New Roman"/>
          <w:color w:val="000000"/>
          <w:sz w:val="32"/>
          <w:szCs w:val="32"/>
          <w:lang w:val="en-US" w:eastAsia="zh-CN"/>
        </w:rPr>
        <w:t>1名，</w:t>
      </w:r>
      <w:r>
        <w:rPr>
          <w:rFonts w:hint="eastAsia" w:ascii="Times New Roman" w:hAnsi="Calibri" w:eastAsia="仿宋_GB2312" w:cs="Times New Roman"/>
          <w:color w:val="000000"/>
          <w:sz w:val="32"/>
          <w:szCs w:val="32"/>
        </w:rPr>
        <w:t>高度重视政府信息公开工作，从强化领导、完善制度、加大宣传和强化监督四个方面认真做好政府信息公开工作，巩固政府信息公开成果、丰富公开内容，创新公开形式、及时更新公开信息</w:t>
      </w:r>
      <w:r>
        <w:rPr>
          <w:rFonts w:hint="eastAsia" w:ascii="Times New Roman" w:hAnsi="Calibri" w:eastAsia="仿宋_GB2312" w:cs="Times New Roman"/>
          <w:color w:val="000000"/>
          <w:sz w:val="32"/>
          <w:szCs w:val="32"/>
          <w:lang w:eastAsia="zh-CN"/>
        </w:rPr>
        <w:t>，确保了群众</w:t>
      </w:r>
      <w:r>
        <w:rPr>
          <w:rFonts w:ascii="Times New Roman" w:hAnsi="Calibri" w:eastAsia="仿宋_GB2312" w:cs="Times New Roman"/>
          <w:color w:val="000000"/>
          <w:sz w:val="32"/>
          <w:szCs w:val="32"/>
        </w:rPr>
        <w:t>对</w:t>
      </w:r>
      <w:r>
        <w:rPr>
          <w:rFonts w:hint="eastAsia" w:ascii="Times New Roman" w:hAnsi="Calibri" w:eastAsia="仿宋_GB2312" w:cs="Times New Roman"/>
          <w:color w:val="000000"/>
          <w:sz w:val="32"/>
          <w:szCs w:val="32"/>
          <w:lang w:eastAsia="zh-CN"/>
        </w:rPr>
        <w:t>区残联</w:t>
      </w:r>
      <w:r>
        <w:rPr>
          <w:rFonts w:ascii="Times New Roman" w:hAnsi="Calibri" w:eastAsia="仿宋_GB2312" w:cs="Times New Roman"/>
          <w:color w:val="000000"/>
          <w:sz w:val="32"/>
          <w:szCs w:val="32"/>
        </w:rPr>
        <w:t>工作的知情权、表达权</w:t>
      </w:r>
      <w:r>
        <w:rPr>
          <w:rFonts w:hint="eastAsia" w:ascii="Times New Roman" w:hAnsi="Calibri" w:eastAsia="仿宋_GB2312" w:cs="Times New Roman"/>
          <w:color w:val="000000"/>
          <w:sz w:val="32"/>
          <w:szCs w:val="32"/>
          <w:lang w:eastAsia="zh-CN"/>
        </w:rPr>
        <w:t>、</w:t>
      </w:r>
      <w:r>
        <w:rPr>
          <w:rFonts w:ascii="Times New Roman" w:hAnsi="Calibri" w:eastAsia="仿宋_GB2312" w:cs="Times New Roman"/>
          <w:color w:val="000000"/>
          <w:sz w:val="32"/>
          <w:szCs w:val="32"/>
        </w:rPr>
        <w:t>参与权和监督权，</w:t>
      </w:r>
      <w:r>
        <w:rPr>
          <w:rFonts w:hint="eastAsia" w:ascii="Times New Roman" w:hAnsi="Calibri" w:eastAsia="仿宋_GB2312" w:cs="Times New Roman"/>
          <w:color w:val="000000"/>
          <w:sz w:val="32"/>
          <w:szCs w:val="32"/>
          <w:lang w:eastAsia="zh-CN"/>
        </w:rPr>
        <w:t>区残联政务</w:t>
      </w:r>
      <w:r>
        <w:rPr>
          <w:rFonts w:hint="default" w:ascii="Times New Roman" w:hAnsi="Calibri" w:eastAsia="仿宋_GB2312" w:cs="Times New Roman"/>
          <w:color w:val="000000"/>
          <w:sz w:val="32"/>
          <w:szCs w:val="32"/>
        </w:rPr>
        <w:t>公开工作质量</w:t>
      </w:r>
      <w:r>
        <w:rPr>
          <w:rFonts w:hint="eastAsia" w:ascii="Times New Roman" w:hAnsi="Calibri" w:eastAsia="仿宋_GB2312" w:cs="Times New Roman"/>
          <w:color w:val="000000"/>
          <w:sz w:val="32"/>
          <w:szCs w:val="32"/>
          <w:lang w:eastAsia="zh-CN"/>
        </w:rPr>
        <w:t>不管</w:t>
      </w:r>
      <w:r>
        <w:rPr>
          <w:rFonts w:hint="default" w:ascii="Times New Roman" w:hAnsi="Calibri" w:eastAsia="仿宋_GB2312" w:cs="Times New Roman"/>
          <w:color w:val="000000"/>
          <w:sz w:val="32"/>
          <w:szCs w:val="32"/>
        </w:rPr>
        <w:t>提高，</w:t>
      </w:r>
      <w:r>
        <w:rPr>
          <w:rFonts w:hint="eastAsia" w:ascii="Times New Roman" w:hAnsi="Calibri" w:eastAsia="仿宋_GB2312" w:cs="Times New Roman"/>
          <w:color w:val="000000"/>
          <w:sz w:val="32"/>
          <w:szCs w:val="32"/>
          <w:lang w:eastAsia="zh-CN"/>
        </w:rPr>
        <w:t>政务服务水平和</w:t>
      </w:r>
      <w:r>
        <w:rPr>
          <w:rFonts w:hint="default" w:ascii="Times New Roman" w:hAnsi="Calibri" w:eastAsia="仿宋_GB2312" w:cs="Times New Roman"/>
          <w:color w:val="000000"/>
          <w:sz w:val="32"/>
          <w:szCs w:val="32"/>
        </w:rPr>
        <w:t>群众</w:t>
      </w:r>
      <w:r>
        <w:rPr>
          <w:rFonts w:hint="eastAsia" w:ascii="Times New Roman" w:hAnsi="Calibri" w:eastAsia="仿宋_GB2312" w:cs="Times New Roman"/>
          <w:color w:val="000000"/>
          <w:sz w:val="32"/>
          <w:szCs w:val="32"/>
          <w:lang w:eastAsia="zh-CN"/>
        </w:rPr>
        <w:t>满意度进一步提升。</w:t>
      </w:r>
    </w:p>
    <w:p>
      <w:pPr>
        <w:pStyle w:val="4"/>
        <w:keepNext w:val="0"/>
        <w:keepLines w:val="0"/>
        <w:pageBreakBefore w:val="0"/>
        <w:widowControl w:val="0"/>
        <w:numPr>
          <w:numId w:val="0"/>
        </w:numPr>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Calibri" w:eastAsia="仿宋_GB2312" w:cs="Times New Roman"/>
          <w:color w:val="000000"/>
          <w:kern w:val="2"/>
          <w:sz w:val="32"/>
          <w:szCs w:val="32"/>
          <w:lang w:val="en-US" w:eastAsia="zh-CN" w:bidi="ar-SA"/>
        </w:rPr>
      </w:pPr>
      <w:r>
        <w:rPr>
          <w:rFonts w:hint="eastAsia" w:ascii="Times New Roman" w:hAnsi="Calibri" w:eastAsia="仿宋_GB2312" w:cs="Times New Roman"/>
          <w:color w:val="000000"/>
          <w:kern w:val="2"/>
          <w:sz w:val="32"/>
          <w:szCs w:val="32"/>
          <w:lang w:val="en-US" w:eastAsia="zh-CN" w:bidi="ar-SA"/>
        </w:rPr>
        <w:t>（一）主动公开情况。2021年1月1日至2021年12月31日，淄博市张店区机关事务服务中心共公开政务信息19次（条）。其中履职依据1条、会议公开3条、建议提案1条、财政信息3条、重点领域信息公开4条、政策解读1条、业务动态6条。</w:t>
      </w:r>
    </w:p>
    <w:p>
      <w:pPr>
        <w:pStyle w:val="4"/>
        <w:keepNext w:val="0"/>
        <w:keepLines w:val="0"/>
        <w:pageBreakBefore w:val="0"/>
        <w:widowControl w:val="0"/>
        <w:numPr>
          <w:numId w:val="0"/>
        </w:numPr>
        <w:kinsoku/>
        <w:wordWrap/>
        <w:overflowPunct/>
        <w:topLinePunct w:val="0"/>
        <w:autoSpaceDE/>
        <w:autoSpaceDN/>
        <w:bidi w:val="0"/>
        <w:adjustRightInd/>
        <w:snapToGrid/>
        <w:spacing w:beforeAutospacing="0" w:afterAutospacing="0" w:line="560" w:lineRule="exact"/>
        <w:textAlignment w:val="auto"/>
        <w:rPr>
          <w:rFonts w:hint="default" w:ascii="Times New Roman" w:hAnsi="Calibri" w:eastAsia="仿宋_GB2312" w:cs="Times New Roman"/>
          <w:color w:val="000000"/>
          <w:kern w:val="2"/>
          <w:sz w:val="32"/>
          <w:szCs w:val="32"/>
          <w:lang w:val="en-US" w:eastAsia="zh-CN" w:bidi="ar-SA"/>
        </w:rPr>
      </w:pPr>
      <w:r>
        <w:rPr>
          <w:rFonts w:hint="eastAsia" w:ascii="Times New Roman" w:hAnsi="Calibri" w:eastAsia="仿宋_GB2312" w:cs="Times New Roman"/>
          <w:color w:val="000000"/>
          <w:kern w:val="2"/>
          <w:sz w:val="32"/>
          <w:szCs w:val="32"/>
          <w:lang w:val="en-US" w:eastAsia="zh-CN" w:bidi="ar-SA"/>
        </w:rPr>
        <w:drawing>
          <wp:anchor distT="0" distB="0" distL="114300" distR="114300" simplePos="0" relativeHeight="251659264" behindDoc="0" locked="0" layoutInCell="1" allowOverlap="1">
            <wp:simplePos x="0" y="0"/>
            <wp:positionH relativeFrom="column">
              <wp:posOffset>-196850</wp:posOffset>
            </wp:positionH>
            <wp:positionV relativeFrom="paragraph">
              <wp:posOffset>320675</wp:posOffset>
            </wp:positionV>
            <wp:extent cx="5334000" cy="3524250"/>
            <wp:effectExtent l="4445" t="4445" r="14605" b="14605"/>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r>
        <w:rPr>
          <w:rFonts w:hint="eastAsia" w:ascii="Times New Roman" w:hAnsi="Calibri" w:eastAsia="仿宋_GB2312" w:cs="Times New Roman"/>
          <w:color w:val="000000"/>
          <w:kern w:val="2"/>
          <w:sz w:val="32"/>
          <w:szCs w:val="32"/>
          <w:lang w:val="en-US" w:eastAsia="zh-CN" w:bidi="ar-SA"/>
        </w:rPr>
        <w:t xml:space="preserve"> </w:t>
      </w:r>
    </w:p>
    <w:p>
      <w:pPr>
        <w:pStyle w:val="4"/>
        <w:keepNext w:val="0"/>
        <w:keepLines w:val="0"/>
        <w:pageBreakBefore w:val="0"/>
        <w:widowControl/>
        <w:shd w:val="clear" w:color="auto" w:fill="FFFFFF"/>
        <w:kinsoku/>
        <w:wordWrap/>
        <w:overflowPunct/>
        <w:topLinePunct w:val="0"/>
        <w:autoSpaceDE/>
        <w:autoSpaceDN/>
        <w:bidi w:val="0"/>
        <w:adjustRightInd/>
        <w:spacing w:beforeAutospacing="0" w:afterAutospacing="0" w:line="540" w:lineRule="exact"/>
        <w:ind w:firstLine="640" w:firstLineChars="200"/>
        <w:jc w:val="both"/>
        <w:textAlignment w:val="auto"/>
        <w:rPr>
          <w:rFonts w:ascii="Times New Roman" w:hAnsi="Times New Roman" w:eastAsia="楷体_GB2312"/>
          <w:sz w:val="32"/>
          <w:szCs w:val="32"/>
          <w:shd w:val="clear" w:color="auto" w:fill="FFFFFF"/>
        </w:rPr>
      </w:pPr>
      <w:r>
        <w:rPr>
          <w:rFonts w:ascii="Times New Roman" w:hAnsi="Times New Roman" w:eastAsia="楷体_GB2312"/>
          <w:sz w:val="32"/>
          <w:szCs w:val="32"/>
          <w:shd w:val="clear" w:color="auto" w:fill="FFFFFF"/>
        </w:rPr>
        <w:t>（二）依申请公开情况</w:t>
      </w:r>
    </w:p>
    <w:p>
      <w:pPr>
        <w:spacing w:line="560" w:lineRule="exact"/>
        <w:ind w:firstLine="640" w:firstLineChars="200"/>
        <w:jc w:val="both"/>
        <w:rPr>
          <w:rFonts w:ascii="Times New Roman" w:hAnsi="仿宋_GB2312" w:eastAsia="仿宋_GB2312"/>
          <w:sz w:val="32"/>
          <w:szCs w:val="32"/>
        </w:rPr>
      </w:pPr>
      <w:r>
        <w:rPr>
          <w:rFonts w:ascii="Times New Roman" w:hAnsi="Times New Roman" w:eastAsia="仿宋_GB2312"/>
          <w:sz w:val="32"/>
          <w:szCs w:val="32"/>
          <w:shd w:val="clear" w:color="auto" w:fill="FFFFFF"/>
        </w:rPr>
        <w:t>2021年度</w:t>
      </w:r>
      <w:r>
        <w:rPr>
          <w:rFonts w:hint="eastAsia" w:ascii="Times New Roman" w:hAnsi="Times New Roman" w:eastAsia="仿宋_GB2312"/>
          <w:sz w:val="32"/>
          <w:szCs w:val="32"/>
          <w:shd w:val="clear" w:color="auto" w:fill="FFFFFF"/>
          <w:lang w:eastAsia="zh-CN"/>
        </w:rPr>
        <w:t>，</w:t>
      </w:r>
      <w:r>
        <w:rPr>
          <w:rFonts w:ascii="Times New Roman" w:hAnsi="仿宋_GB2312" w:eastAsia="仿宋_GB2312"/>
          <w:sz w:val="32"/>
          <w:szCs w:val="32"/>
        </w:rPr>
        <w:t>无依申请公开的信息</w:t>
      </w:r>
    </w:p>
    <w:p>
      <w:pPr>
        <w:pStyle w:val="2"/>
        <w:ind w:left="0" w:leftChars="0" w:firstLine="0" w:firstLineChars="0"/>
        <w:jc w:val="left"/>
        <w:rPr>
          <w:rFonts w:ascii="Times New Roman" w:hAnsi="Times New Roman" w:eastAsia="楷体_GB2312"/>
          <w:sz w:val="32"/>
          <w:szCs w:val="32"/>
          <w:shd w:val="clear" w:color="auto" w:fill="FFFFFF"/>
        </w:rPr>
      </w:pPr>
      <w:r>
        <w:rPr>
          <w:rFonts w:hint="eastAsia"/>
          <w:lang w:eastAsia="zh-CN"/>
        </w:rPr>
        <w:drawing>
          <wp:inline distT="0" distB="0" distL="114300" distR="114300">
            <wp:extent cx="5269865" cy="2483485"/>
            <wp:effectExtent l="0" t="0" r="6985" b="12065"/>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6"/>
                    <a:stretch>
                      <a:fillRect/>
                    </a:stretch>
                  </pic:blipFill>
                  <pic:spPr>
                    <a:xfrm>
                      <a:off x="0" y="0"/>
                      <a:ext cx="5269865" cy="2483485"/>
                    </a:xfrm>
                    <a:prstGeom prst="rect">
                      <a:avLst/>
                    </a:prstGeom>
                  </pic:spPr>
                </pic:pic>
              </a:graphicData>
            </a:graphic>
          </wp:inline>
        </w:drawing>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ind w:left="0" w:leftChars="0" w:firstLine="640" w:firstLineChars="200"/>
        <w:jc w:val="both"/>
        <w:textAlignment w:val="auto"/>
        <w:rPr>
          <w:rFonts w:ascii="Times New Roman" w:hAnsi="Times New Roman" w:eastAsia="仿宋_GB2312"/>
          <w:sz w:val="32"/>
          <w:szCs w:val="32"/>
          <w:shd w:val="clear" w:color="auto" w:fill="FFFFFF"/>
        </w:rPr>
      </w:pPr>
      <w:r>
        <w:rPr>
          <w:rFonts w:hint="eastAsia" w:ascii="Times New Roman" w:hAnsi="Times New Roman" w:eastAsia="楷体_GB2312"/>
          <w:sz w:val="32"/>
          <w:szCs w:val="32"/>
          <w:shd w:val="clear" w:color="auto" w:fill="FFFFFF"/>
          <w:lang w:eastAsia="zh-CN"/>
        </w:rPr>
        <w:t>（</w:t>
      </w:r>
      <w:r>
        <w:rPr>
          <w:rFonts w:hint="eastAsia" w:ascii="Times New Roman" w:hAnsi="Times New Roman" w:eastAsia="仿宋_GB2312"/>
          <w:sz w:val="32"/>
          <w:szCs w:val="32"/>
          <w:shd w:val="clear" w:color="auto" w:fill="FFFFFF"/>
          <w:lang w:eastAsia="zh-CN"/>
        </w:rPr>
        <w:t>三）</w:t>
      </w:r>
      <w:r>
        <w:rPr>
          <w:rFonts w:ascii="Times New Roman" w:hAnsi="Times New Roman" w:eastAsia="仿宋_GB2312"/>
          <w:sz w:val="32"/>
          <w:szCs w:val="32"/>
          <w:shd w:val="clear" w:color="auto" w:fill="FFFFFF"/>
        </w:rPr>
        <w:t>政府信息管理情况</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ind w:left="0" w:leftChars="0" w:firstLine="640" w:firstLineChars="200"/>
        <w:jc w:val="both"/>
        <w:textAlignment w:val="auto"/>
        <w:rPr>
          <w:rFonts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rPr>
        <w:t>2021年，我</w:t>
      </w:r>
      <w:r>
        <w:rPr>
          <w:rFonts w:hint="eastAsia" w:ascii="Times New Roman" w:hAnsi="Times New Roman" w:eastAsia="仿宋_GB2312"/>
          <w:sz w:val="32"/>
          <w:szCs w:val="32"/>
          <w:shd w:val="clear" w:color="auto" w:fill="FFFFFF"/>
          <w:lang w:eastAsia="zh-CN"/>
        </w:rPr>
        <w:t>单位</w:t>
      </w:r>
      <w:r>
        <w:rPr>
          <w:rFonts w:ascii="Times New Roman" w:hAnsi="Times New Roman" w:eastAsia="仿宋_GB2312"/>
          <w:sz w:val="32"/>
          <w:szCs w:val="32"/>
          <w:shd w:val="clear" w:color="auto" w:fill="FFFFFF"/>
        </w:rPr>
        <w:t>严格落实《中华人民共和国政府信息公开条例》等有关要求，及时发布、主动公开政府信息，保证每条已发布信息的时效性与准确性，切实保障人民群众的知情权、参与权和监督权，进一步畅通了政府与人民群众的联系渠道，提升全中心“互联网+政务公开”水平，为人民群众提供优质便捷高效服务。</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jc w:val="both"/>
        <w:textAlignment w:val="auto"/>
        <w:rPr>
          <w:rFonts w:hint="eastAsia" w:ascii="Times New Roman" w:hAnsi="Times New Roman" w:eastAsia="仿宋_GB2312"/>
          <w:sz w:val="32"/>
          <w:szCs w:val="32"/>
          <w:shd w:val="clear" w:color="auto" w:fill="FFFFFF"/>
          <w:lang w:eastAsia="zh-CN"/>
        </w:rPr>
      </w:pPr>
      <w:r>
        <w:rPr>
          <w:rFonts w:hint="eastAsia" w:ascii="Times New Roman" w:hAnsi="Times New Roman" w:eastAsia="仿宋_GB2312"/>
          <w:sz w:val="32"/>
          <w:szCs w:val="32"/>
          <w:shd w:val="clear" w:color="auto" w:fill="FFFFFF"/>
          <w:lang w:eastAsia="zh-CN"/>
        </w:rPr>
        <w:drawing>
          <wp:inline distT="0" distB="0" distL="114300" distR="114300">
            <wp:extent cx="4817110" cy="3444875"/>
            <wp:effectExtent l="0" t="0" r="2540" b="3175"/>
            <wp:docPr id="7" name="图片 7" descr="1646881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646881201(1)"/>
                    <pic:cNvPicPr>
                      <a:picLocks noChangeAspect="1"/>
                    </pic:cNvPicPr>
                  </pic:nvPicPr>
                  <pic:blipFill>
                    <a:blip r:embed="rId7"/>
                    <a:stretch>
                      <a:fillRect/>
                    </a:stretch>
                  </pic:blipFill>
                  <pic:spPr>
                    <a:xfrm>
                      <a:off x="0" y="0"/>
                      <a:ext cx="4817110" cy="3444875"/>
                    </a:xfrm>
                    <a:prstGeom prst="rect">
                      <a:avLst/>
                    </a:prstGeom>
                  </pic:spPr>
                </pic:pic>
              </a:graphicData>
            </a:graphic>
          </wp:inline>
        </w:drawing>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ind w:left="0" w:leftChars="0" w:firstLine="640" w:firstLineChars="200"/>
        <w:jc w:val="both"/>
        <w:textAlignment w:val="auto"/>
        <w:rPr>
          <w:rFonts w:hint="eastAsia" w:ascii="Times New Roman" w:hAnsi="Times New Roman" w:eastAsia="仿宋_GB2312"/>
          <w:sz w:val="32"/>
          <w:szCs w:val="32"/>
          <w:shd w:val="clear" w:color="auto" w:fill="FFFFFF"/>
        </w:rPr>
      </w:pPr>
      <w:r>
        <w:rPr>
          <w:rFonts w:hint="eastAsia" w:ascii="Times New Roman" w:hAnsi="Times New Roman" w:eastAsia="仿宋_GB2312"/>
          <w:sz w:val="32"/>
          <w:szCs w:val="32"/>
          <w:shd w:val="clear" w:color="auto" w:fill="FFFFFF"/>
          <w:lang w:eastAsia="zh-CN"/>
        </w:rPr>
        <w:t>（四）政府信息公开</w:t>
      </w:r>
      <w:r>
        <w:rPr>
          <w:rFonts w:hint="eastAsia" w:ascii="Times New Roman" w:hAnsi="Times New Roman" w:eastAsia="仿宋_GB2312"/>
          <w:sz w:val="32"/>
          <w:szCs w:val="32"/>
          <w:shd w:val="clear" w:color="auto" w:fill="FFFFFF"/>
        </w:rPr>
        <w:t>平台建设情况。</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ind w:left="0" w:leftChars="0" w:firstLine="640" w:firstLineChars="200"/>
        <w:jc w:val="both"/>
        <w:textAlignment w:val="auto"/>
        <w:rPr>
          <w:rFonts w:hint="eastAsia" w:ascii="Times New Roman" w:hAnsi="Times New Roman" w:eastAsia="仿宋_GB2312"/>
          <w:sz w:val="32"/>
          <w:szCs w:val="32"/>
          <w:shd w:val="clear" w:color="auto" w:fill="FFFFFF"/>
        </w:rPr>
      </w:pPr>
      <w:r>
        <w:rPr>
          <w:rFonts w:ascii="Times New Roman" w:hAnsi="Times New Roman" w:eastAsia="仿宋_GB2312"/>
          <w:sz w:val="32"/>
          <w:szCs w:val="32"/>
          <w:shd w:val="clear" w:color="auto" w:fill="FFFFFF"/>
          <w:lang w:val="en-US"/>
        </w:rPr>
        <w:t>2021</w:t>
      </w:r>
      <w:r>
        <w:rPr>
          <w:rFonts w:hint="eastAsia" w:ascii="Times New Roman" w:hAnsi="Times New Roman" w:eastAsia="仿宋_GB2312"/>
          <w:sz w:val="32"/>
          <w:szCs w:val="32"/>
          <w:shd w:val="clear" w:color="auto" w:fill="FFFFFF"/>
        </w:rPr>
        <w:t>年</w:t>
      </w:r>
      <w:r>
        <w:rPr>
          <w:rFonts w:hint="eastAsia" w:ascii="Times New Roman" w:hAnsi="Times New Roman" w:eastAsia="仿宋_GB2312"/>
          <w:sz w:val="32"/>
          <w:szCs w:val="32"/>
          <w:shd w:val="clear" w:color="auto" w:fill="FFFFFF"/>
          <w:lang w:eastAsia="zh-CN"/>
        </w:rPr>
        <w:t>区残联</w:t>
      </w:r>
      <w:r>
        <w:rPr>
          <w:rFonts w:hint="eastAsia" w:ascii="Times New Roman" w:hAnsi="Times New Roman" w:eastAsia="仿宋_GB2312"/>
          <w:sz w:val="32"/>
          <w:szCs w:val="32"/>
          <w:shd w:val="clear" w:color="auto" w:fill="FFFFFF"/>
        </w:rPr>
        <w:t>根据</w:t>
      </w:r>
      <w:r>
        <w:rPr>
          <w:rFonts w:hint="eastAsia" w:ascii="Times New Roman" w:hAnsi="Times New Roman" w:eastAsia="仿宋_GB2312"/>
          <w:sz w:val="32"/>
          <w:szCs w:val="32"/>
          <w:shd w:val="clear" w:color="auto" w:fill="FFFFFF"/>
          <w:lang w:eastAsia="zh-CN"/>
        </w:rPr>
        <w:t>区</w:t>
      </w:r>
      <w:r>
        <w:rPr>
          <w:rFonts w:hint="eastAsia" w:ascii="Times New Roman" w:hAnsi="Times New Roman" w:eastAsia="仿宋_GB2312"/>
          <w:sz w:val="32"/>
          <w:szCs w:val="32"/>
          <w:shd w:val="clear" w:color="auto" w:fill="FFFFFF"/>
        </w:rPr>
        <w:t>政府工作部署，继续对本单位的政府信息公开工作进行了具体组织部署，把政府信息公开工作任务分解落实到具体</w:t>
      </w:r>
      <w:r>
        <w:rPr>
          <w:rFonts w:hint="eastAsia" w:ascii="Times New Roman" w:hAnsi="Times New Roman" w:eastAsia="仿宋_GB2312"/>
          <w:sz w:val="32"/>
          <w:szCs w:val="32"/>
          <w:shd w:val="clear" w:color="auto" w:fill="FFFFFF"/>
          <w:lang w:eastAsia="zh-CN"/>
        </w:rPr>
        <w:t>科</w:t>
      </w:r>
      <w:r>
        <w:rPr>
          <w:rFonts w:hint="eastAsia" w:ascii="Times New Roman" w:hAnsi="Times New Roman" w:eastAsia="仿宋_GB2312"/>
          <w:sz w:val="32"/>
          <w:szCs w:val="32"/>
          <w:shd w:val="clear" w:color="auto" w:fill="FFFFFF"/>
        </w:rPr>
        <w:t>室，整理并发布有关政府信息，对进一步抓好政府信息公开审查、及时发布主动公开政府信息、积极稳妥办理好依申请公开和规范标题及分类等三方面工作提出具体规定和要求；同时根据各</w:t>
      </w:r>
      <w:r>
        <w:rPr>
          <w:rFonts w:hint="eastAsia" w:ascii="Times New Roman" w:hAnsi="Times New Roman" w:eastAsia="仿宋_GB2312"/>
          <w:sz w:val="32"/>
          <w:szCs w:val="32"/>
          <w:shd w:val="clear" w:color="auto" w:fill="FFFFFF"/>
          <w:lang w:eastAsia="zh-CN"/>
        </w:rPr>
        <w:t>科</w:t>
      </w:r>
      <w:r>
        <w:rPr>
          <w:rFonts w:hint="eastAsia" w:ascii="Times New Roman" w:hAnsi="Times New Roman" w:eastAsia="仿宋_GB2312"/>
          <w:sz w:val="32"/>
          <w:szCs w:val="32"/>
          <w:shd w:val="clear" w:color="auto" w:fill="FFFFFF"/>
        </w:rPr>
        <w:t>室队工作职责和工作内容，梳理总结政务服务事项，对由我</w:t>
      </w:r>
      <w:r>
        <w:rPr>
          <w:rFonts w:hint="eastAsia" w:ascii="Times New Roman" w:hAnsi="Times New Roman" w:eastAsia="仿宋_GB2312"/>
          <w:sz w:val="32"/>
          <w:szCs w:val="32"/>
          <w:shd w:val="clear" w:color="auto" w:fill="FFFFFF"/>
          <w:lang w:eastAsia="zh-CN"/>
        </w:rPr>
        <w:t>单位</w:t>
      </w:r>
      <w:r>
        <w:rPr>
          <w:rFonts w:hint="eastAsia" w:ascii="Times New Roman" w:hAnsi="Times New Roman" w:eastAsia="仿宋_GB2312"/>
          <w:sz w:val="32"/>
          <w:szCs w:val="32"/>
          <w:shd w:val="clear" w:color="auto" w:fill="FFFFFF"/>
        </w:rPr>
        <w:t>进行审批工作的事项配制工作流程图，方便市民咨询、查看；做好信息公开发布工作，积极落实我</w:t>
      </w:r>
      <w:r>
        <w:rPr>
          <w:rFonts w:hint="eastAsia" w:ascii="Times New Roman" w:hAnsi="Times New Roman" w:eastAsia="仿宋_GB2312"/>
          <w:sz w:val="32"/>
          <w:szCs w:val="32"/>
          <w:shd w:val="clear" w:color="auto" w:fill="FFFFFF"/>
          <w:lang w:eastAsia="zh-CN"/>
        </w:rPr>
        <w:t>区</w:t>
      </w:r>
      <w:r>
        <w:rPr>
          <w:rFonts w:hint="eastAsia" w:ascii="Times New Roman" w:hAnsi="Times New Roman" w:eastAsia="仿宋_GB2312"/>
          <w:sz w:val="32"/>
          <w:szCs w:val="32"/>
          <w:shd w:val="clear" w:color="auto" w:fill="FFFFFF"/>
        </w:rPr>
        <w:t>门户网站政务公开工作，及时、准确地公开和维护组织机构、动态信息、政务服务、规划计划等栏目信息。</w:t>
      </w:r>
    </w:p>
    <w:p>
      <w:pPr>
        <w:keepNext w:val="0"/>
        <w:keepLines w:val="0"/>
        <w:pageBreakBefore w:val="0"/>
        <w:widowControl w:val="0"/>
        <w:numPr>
          <w:ilvl w:val="0"/>
          <w:numId w:val="1"/>
        </w:numPr>
        <w:kinsoku/>
        <w:wordWrap/>
        <w:overflowPunct/>
        <w:topLinePunct w:val="0"/>
        <w:autoSpaceDE/>
        <w:autoSpaceDN/>
        <w:bidi w:val="0"/>
        <w:adjustRightInd/>
        <w:snapToGrid/>
        <w:spacing w:line="550" w:lineRule="exact"/>
        <w:ind w:leftChars="0" w:firstLine="640" w:firstLineChars="200"/>
        <w:textAlignment w:val="auto"/>
        <w:rPr>
          <w:rFonts w:hint="eastAsia" w:ascii="Times New Roman" w:hAnsi="Times New Roman" w:eastAsia="仿宋_GB2312" w:cs="Times New Roman"/>
          <w:kern w:val="0"/>
          <w:sz w:val="32"/>
          <w:szCs w:val="32"/>
          <w:shd w:val="clear" w:color="auto" w:fill="FFFFFF"/>
          <w:lang w:val="en-US" w:eastAsia="zh-CN" w:bidi="ar-SA"/>
        </w:rPr>
      </w:pPr>
      <w:r>
        <w:rPr>
          <w:rFonts w:hint="eastAsia" w:ascii="Times New Roman" w:hAnsi="Times New Roman" w:eastAsia="仿宋_GB2312" w:cs="Times New Roman"/>
          <w:kern w:val="0"/>
          <w:sz w:val="32"/>
          <w:szCs w:val="32"/>
          <w:shd w:val="clear" w:color="auto" w:fill="FFFFFF"/>
          <w:lang w:val="en-US" w:eastAsia="zh-CN" w:bidi="ar-SA"/>
        </w:rPr>
        <w:t>监督保障情况。</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ind w:left="0" w:leftChars="0" w:firstLine="640" w:firstLineChars="200"/>
        <w:jc w:val="both"/>
        <w:textAlignment w:val="auto"/>
        <w:rPr>
          <w:rFonts w:hint="eastAsia" w:ascii="Times New Roman" w:hAnsi="Times New Roman" w:eastAsia="仿宋_GB2312"/>
          <w:sz w:val="32"/>
          <w:szCs w:val="32"/>
          <w:shd w:val="clear" w:color="auto" w:fill="FFFFFF"/>
        </w:rPr>
      </w:pPr>
      <w:r>
        <w:rPr>
          <w:rFonts w:hint="eastAsia" w:ascii="Times New Roman" w:hAnsi="Times New Roman" w:eastAsia="仿宋_GB2312"/>
          <w:sz w:val="32"/>
          <w:szCs w:val="32"/>
          <w:shd w:val="clear" w:color="auto" w:fill="FFFFFF"/>
          <w:lang w:eastAsia="zh-CN"/>
        </w:rPr>
        <w:t>一是</w:t>
      </w:r>
      <w:r>
        <w:rPr>
          <w:rFonts w:hint="eastAsia" w:ascii="Times New Roman" w:hAnsi="Times New Roman" w:eastAsia="仿宋_GB2312"/>
          <w:sz w:val="32"/>
          <w:szCs w:val="32"/>
          <w:shd w:val="clear" w:color="auto" w:fill="FFFFFF"/>
        </w:rPr>
        <w:t>实行内部监督和外部监督相结合的监督机制</w:t>
      </w:r>
      <w:r>
        <w:rPr>
          <w:rFonts w:hint="eastAsia" w:ascii="Times New Roman" w:hAnsi="Times New Roman" w:eastAsia="仿宋_GB2312"/>
          <w:sz w:val="32"/>
          <w:szCs w:val="32"/>
          <w:shd w:val="clear" w:color="auto" w:fill="FFFFFF"/>
          <w:lang w:eastAsia="zh-CN"/>
        </w:rPr>
        <w:t>。</w:t>
      </w:r>
      <w:r>
        <w:rPr>
          <w:rFonts w:hint="eastAsia" w:ascii="Times New Roman" w:hAnsi="Times New Roman" w:eastAsia="仿宋_GB2312"/>
          <w:sz w:val="32"/>
          <w:szCs w:val="32"/>
          <w:shd w:val="clear" w:color="auto" w:fill="FFFFFF"/>
        </w:rPr>
        <w:t>内部监督，即由</w:t>
      </w:r>
      <w:r>
        <w:rPr>
          <w:rFonts w:hint="eastAsia" w:ascii="Times New Roman" w:hAnsi="Times New Roman" w:eastAsia="仿宋_GB2312"/>
          <w:sz w:val="32"/>
          <w:szCs w:val="32"/>
          <w:shd w:val="clear" w:color="auto" w:fill="FFFFFF"/>
          <w:lang w:eastAsia="zh-CN"/>
        </w:rPr>
        <w:t>党组</w:t>
      </w:r>
      <w:r>
        <w:rPr>
          <w:rFonts w:hint="eastAsia" w:ascii="Times New Roman" w:hAnsi="Times New Roman" w:eastAsia="仿宋_GB2312"/>
          <w:sz w:val="32"/>
          <w:szCs w:val="32"/>
          <w:shd w:val="clear" w:color="auto" w:fill="FFFFFF"/>
        </w:rPr>
        <w:t>负责实施监督政务公开工作，对行政过程中是否按照政务公开要求施政进行监督检查，并对发现的问题提出纠正意见。外部监督，通过民主测评实行监督，收集群众反映的问题、提出的意见，并逐条逐项地梳理出来，及时向政务公开领导小组呈报。</w:t>
      </w:r>
    </w:p>
    <w:p>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Autospacing="0"/>
        <w:ind w:left="0" w:leftChars="0" w:firstLine="640" w:firstLineChars="200"/>
        <w:jc w:val="both"/>
        <w:textAlignment w:val="auto"/>
        <w:rPr>
          <w:rFonts w:hint="default"/>
          <w:lang w:val="en-US" w:eastAsia="zh-CN"/>
        </w:rPr>
      </w:pPr>
      <w:r>
        <w:rPr>
          <w:rFonts w:hint="eastAsia" w:ascii="Times New Roman" w:hAnsi="Times New Roman" w:eastAsia="仿宋_GB2312"/>
          <w:sz w:val="32"/>
          <w:szCs w:val="32"/>
          <w:shd w:val="clear" w:color="auto" w:fill="FFFFFF"/>
          <w:lang w:eastAsia="zh-CN"/>
        </w:rPr>
        <w:t>二是</w:t>
      </w:r>
      <w:r>
        <w:rPr>
          <w:rFonts w:hint="eastAsia" w:ascii="Times New Roman" w:hAnsi="Times New Roman" w:eastAsia="仿宋_GB2312"/>
          <w:sz w:val="32"/>
          <w:szCs w:val="32"/>
          <w:shd w:val="clear" w:color="auto" w:fill="FFFFFF"/>
        </w:rPr>
        <w:t>实行上下级互相监督的网络约束机制</w:t>
      </w:r>
      <w:r>
        <w:rPr>
          <w:rFonts w:hint="eastAsia" w:ascii="Times New Roman" w:hAnsi="Times New Roman" w:eastAsia="仿宋_GB2312"/>
          <w:sz w:val="32"/>
          <w:szCs w:val="32"/>
          <w:shd w:val="clear" w:color="auto" w:fill="FFFFFF"/>
          <w:lang w:eastAsia="zh-CN"/>
        </w:rPr>
        <w:t>。</w:t>
      </w:r>
      <w:r>
        <w:rPr>
          <w:rFonts w:hint="eastAsia" w:ascii="Times New Roman" w:hAnsi="Times New Roman" w:eastAsia="仿宋_GB2312"/>
          <w:sz w:val="32"/>
          <w:szCs w:val="32"/>
          <w:shd w:val="clear" w:color="auto" w:fill="FFFFFF"/>
        </w:rPr>
        <w:t>对职权所辖的政务公开工作真正负起职责，经常指导、帮助、教育、督促科室政务公开工作；向上级反映情况、提出要求和观点</w:t>
      </w:r>
      <w:r>
        <w:rPr>
          <w:rFonts w:hint="eastAsia" w:ascii="Times New Roman" w:hAnsi="Times New Roman" w:eastAsia="仿宋_GB2312"/>
          <w:sz w:val="32"/>
          <w:szCs w:val="32"/>
          <w:shd w:val="clear" w:color="auto" w:fill="FFFFFF"/>
          <w:lang w:eastAsia="zh-CN"/>
        </w:rPr>
        <w:t>，共同保证政务公开平台信息真实性、及时性、全面性。</w:t>
      </w:r>
      <w:bookmarkStart w:id="0" w:name="_GoBack"/>
      <w:bookmarkEnd w:id="0"/>
    </w:p>
    <w:p>
      <w:pPr>
        <w:pStyle w:val="4"/>
        <w:widowControl/>
        <w:numPr>
          <w:numId w:val="0"/>
        </w:numPr>
        <w:shd w:val="clear" w:color="auto" w:fill="FFFFFF"/>
        <w:spacing w:beforeAutospacing="0" w:after="240" w:afterAutospacing="0"/>
        <w:ind w:firstLine="640" w:firstLineChars="200"/>
        <w:jc w:val="both"/>
        <w:rPr>
          <w:rFonts w:hint="eastAsia" w:ascii="Times New Roman" w:hAnsi="黑体" w:eastAsia="黑体" w:cs="黑体"/>
          <w:sz w:val="32"/>
          <w:szCs w:val="32"/>
          <w:shd w:val="clear" w:color="auto" w:fill="FFFFFF"/>
        </w:rPr>
      </w:pPr>
      <w:r>
        <w:rPr>
          <w:rFonts w:hint="eastAsia" w:ascii="Times New Roman" w:hAnsi="黑体" w:eastAsia="黑体" w:cs="黑体"/>
          <w:sz w:val="32"/>
          <w:szCs w:val="32"/>
          <w:shd w:val="clear" w:color="auto" w:fill="FFFFFF"/>
          <w:lang w:eastAsia="zh-CN"/>
        </w:rPr>
        <w:t>二、</w:t>
      </w:r>
      <w:r>
        <w:rPr>
          <w:rFonts w:hint="eastAsia" w:ascii="Times New Roman" w:hAnsi="黑体" w:eastAsia="黑体" w:cs="黑体"/>
          <w:sz w:val="32"/>
          <w:szCs w:val="32"/>
          <w:shd w:val="clear" w:color="auto" w:fill="FFFFFF"/>
        </w:rPr>
        <w:t>主动公开政府信息情况</w:t>
      </w:r>
    </w:p>
    <w:tbl>
      <w:tblPr>
        <w:tblStyle w:val="5"/>
        <w:tblW w:w="8708" w:type="dxa"/>
        <w:jc w:val="center"/>
        <w:shd w:val="clear" w:color="auto" w:fill="FFFFFF" w:themeFill="background1"/>
        <w:tblLayout w:type="fixed"/>
        <w:tblCellMar>
          <w:top w:w="0" w:type="dxa"/>
          <w:left w:w="0" w:type="dxa"/>
          <w:bottom w:w="0" w:type="dxa"/>
          <w:right w:w="0" w:type="dxa"/>
        </w:tblCellMar>
      </w:tblPr>
      <w:tblGrid>
        <w:gridCol w:w="3073"/>
        <w:gridCol w:w="2112"/>
        <w:gridCol w:w="1505"/>
        <w:gridCol w:w="2018"/>
      </w:tblGrid>
      <w:tr>
        <w:tblPrEx>
          <w:shd w:val="clear" w:color="auto" w:fill="FFFFFF" w:themeFill="background1"/>
          <w:tblCellMar>
            <w:top w:w="0" w:type="dxa"/>
            <w:left w:w="0" w:type="dxa"/>
            <w:bottom w:w="0" w:type="dxa"/>
            <w:right w:w="0" w:type="dxa"/>
          </w:tblCellMar>
        </w:tblPrEx>
        <w:trPr>
          <w:trHeight w:val="594" w:hRule="atLeast"/>
          <w:jc w:val="center"/>
        </w:trPr>
        <w:tc>
          <w:tcPr>
            <w:tcW w:w="8708"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sz w:val="24"/>
              </w:rPr>
            </w:pPr>
            <w:r>
              <w:rPr>
                <w:rFonts w:hint="eastAsia" w:ascii="Times New Roman" w:hAnsiTheme="minorEastAsia" w:cstheme="minorEastAsia"/>
                <w:kern w:val="0"/>
                <w:sz w:val="24"/>
              </w:rPr>
              <w:t>第二十条第（一）项</w:t>
            </w:r>
          </w:p>
        </w:tc>
      </w:tr>
      <w:tr>
        <w:tblPrEx>
          <w:shd w:val="clear" w:color="auto" w:fill="FFFFFF" w:themeFill="background1"/>
          <w:tblCellMar>
            <w:top w:w="0" w:type="dxa"/>
            <w:left w:w="0" w:type="dxa"/>
            <w:bottom w:w="0" w:type="dxa"/>
            <w:right w:w="0" w:type="dxa"/>
          </w:tblCellMar>
        </w:tblPrEx>
        <w:trPr>
          <w:trHeight w:val="86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信息内容</w:t>
            </w:r>
          </w:p>
        </w:tc>
        <w:tc>
          <w:tcPr>
            <w:tcW w:w="2112"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本年新制作数量</w:t>
            </w:r>
          </w:p>
        </w:tc>
        <w:tc>
          <w:tcPr>
            <w:tcW w:w="1505" w:type="dxa"/>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本年新</w:t>
            </w:r>
            <w:r>
              <w:rPr>
                <w:rFonts w:hint="eastAsia" w:ascii="Times New Roman" w:hAnsi="Times New Roman" w:cstheme="minorEastAsia"/>
                <w:kern w:val="0"/>
                <w:sz w:val="24"/>
              </w:rPr>
              <w:br w:type="textWrapping"/>
            </w:r>
            <w:r>
              <w:rPr>
                <w:rFonts w:hint="eastAsia" w:ascii="Times New Roman" w:hAnsiTheme="minorEastAsia" w:cstheme="minorEastAsia"/>
                <w:kern w:val="0"/>
                <w:sz w:val="24"/>
              </w:rPr>
              <w:t>公开数量</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对外公开</w:t>
            </w:r>
          </w:p>
          <w:p>
            <w:pPr>
              <w:widowControl/>
              <w:jc w:val="center"/>
              <w:rPr>
                <w:rFonts w:ascii="Times New Roman" w:hAnsi="Times New Roman" w:cstheme="minorEastAsia"/>
                <w:kern w:val="0"/>
                <w:sz w:val="24"/>
              </w:rPr>
            </w:pPr>
            <w:r>
              <w:rPr>
                <w:rFonts w:hint="eastAsia" w:ascii="Times New Roman" w:hAnsiTheme="minorEastAsia" w:cstheme="minorEastAsia"/>
                <w:kern w:val="0"/>
                <w:sz w:val="24"/>
              </w:rPr>
              <w:t>总数量</w:t>
            </w:r>
          </w:p>
        </w:tc>
      </w:tr>
      <w:tr>
        <w:tblPrEx>
          <w:shd w:val="clear" w:color="auto" w:fill="FFFFFF" w:themeFill="background1"/>
          <w:tblCellMar>
            <w:top w:w="0" w:type="dxa"/>
            <w:left w:w="0" w:type="dxa"/>
            <w:bottom w:w="0" w:type="dxa"/>
            <w:right w:w="0" w:type="dxa"/>
          </w:tblCellMar>
        </w:tblPrEx>
        <w:trPr>
          <w:trHeight w:val="39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imes New Roman" w:hAnsi="Times New Roman" w:cstheme="minorEastAsia"/>
                <w:kern w:val="0"/>
                <w:sz w:val="24"/>
              </w:rPr>
            </w:pPr>
            <w:r>
              <w:rPr>
                <w:rFonts w:hint="eastAsia" w:ascii="Times New Roman" w:hAnsiTheme="minorEastAsia" w:cstheme="minorEastAsia"/>
                <w:kern w:val="0"/>
                <w:sz w:val="24"/>
              </w:rPr>
              <w:t>规章</w:t>
            </w:r>
          </w:p>
        </w:tc>
        <w:tc>
          <w:tcPr>
            <w:tcW w:w="2112"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　0</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imes New Roman" w:cstheme="minorEastAsia"/>
                <w:kern w:val="0"/>
                <w:sz w:val="24"/>
              </w:rPr>
              <w:t>0</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0</w:t>
            </w:r>
          </w:p>
        </w:tc>
      </w:tr>
      <w:tr>
        <w:tblPrEx>
          <w:tblCellMar>
            <w:top w:w="0" w:type="dxa"/>
            <w:left w:w="0" w:type="dxa"/>
            <w:bottom w:w="0" w:type="dxa"/>
            <w:right w:w="0" w:type="dxa"/>
          </w:tblCellMar>
        </w:tblPrEx>
        <w:trPr>
          <w:trHeight w:val="404"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imes New Roman" w:hAnsi="Times New Roman" w:cstheme="minorEastAsia"/>
                <w:kern w:val="0"/>
                <w:sz w:val="24"/>
              </w:rPr>
            </w:pPr>
            <w:r>
              <w:rPr>
                <w:rFonts w:hint="eastAsia" w:ascii="Times New Roman" w:hAnsiTheme="minorEastAsia" w:cstheme="minorEastAsia"/>
                <w:kern w:val="0"/>
                <w:sz w:val="24"/>
              </w:rPr>
              <w:t>规范性文件</w:t>
            </w:r>
          </w:p>
        </w:tc>
        <w:tc>
          <w:tcPr>
            <w:tcW w:w="2112"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0　　</w:t>
            </w:r>
          </w:p>
        </w:tc>
        <w:tc>
          <w:tcPr>
            <w:tcW w:w="1505"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imes New Roman" w:cstheme="minorEastAsia"/>
                <w:kern w:val="0"/>
                <w:sz w:val="24"/>
              </w:rPr>
              <w:t>0 </w:t>
            </w:r>
          </w:p>
        </w:tc>
        <w:tc>
          <w:tcPr>
            <w:tcW w:w="2018" w:type="dxa"/>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0　</w:t>
            </w:r>
          </w:p>
        </w:tc>
      </w:tr>
      <w:tr>
        <w:tblPrEx>
          <w:tblCellMar>
            <w:top w:w="0" w:type="dxa"/>
            <w:left w:w="0" w:type="dxa"/>
            <w:bottom w:w="0" w:type="dxa"/>
            <w:right w:w="0" w:type="dxa"/>
          </w:tblCellMar>
        </w:tblPrEx>
        <w:trPr>
          <w:trHeight w:val="480" w:hRule="atLeast"/>
          <w:jc w:val="center"/>
        </w:trPr>
        <w:tc>
          <w:tcPr>
            <w:tcW w:w="8708" w:type="dxa"/>
            <w:gridSpan w:val="4"/>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第二十条第（五）项</w:t>
            </w:r>
          </w:p>
        </w:tc>
      </w:tr>
      <w:tr>
        <w:tblPrEx>
          <w:tblCellMar>
            <w:top w:w="0" w:type="dxa"/>
            <w:left w:w="0" w:type="dxa"/>
            <w:bottom w:w="0" w:type="dxa"/>
            <w:right w:w="0" w:type="dxa"/>
          </w:tblCellMar>
        </w:tblPrEx>
        <w:trPr>
          <w:trHeight w:val="516"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信息内容</w:t>
            </w:r>
          </w:p>
        </w:tc>
        <w:tc>
          <w:tcPr>
            <w:tcW w:w="5635" w:type="dxa"/>
            <w:gridSpan w:val="3"/>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lang w:eastAsia="zh-CN"/>
              </w:rPr>
              <w:t>本年</w:t>
            </w:r>
            <w:r>
              <w:rPr>
                <w:rFonts w:hint="eastAsia" w:ascii="Times New Roman" w:hAnsiTheme="minorEastAsia" w:cstheme="minorEastAsia"/>
                <w:kern w:val="0"/>
                <w:sz w:val="24"/>
              </w:rPr>
              <w:t>处理决定数量</w:t>
            </w:r>
          </w:p>
        </w:tc>
      </w:tr>
      <w:tr>
        <w:tblPrEx>
          <w:tblCellMar>
            <w:top w:w="0" w:type="dxa"/>
            <w:left w:w="0" w:type="dxa"/>
            <w:bottom w:w="0" w:type="dxa"/>
            <w:right w:w="0" w:type="dxa"/>
          </w:tblCellMar>
        </w:tblPrEx>
        <w:trPr>
          <w:trHeight w:val="455"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imes New Roman" w:hAnsi="Times New Roman" w:cstheme="minorEastAsia"/>
                <w:kern w:val="0"/>
                <w:sz w:val="24"/>
              </w:rPr>
            </w:pPr>
            <w:r>
              <w:rPr>
                <w:rFonts w:hint="eastAsia" w:ascii="Times New Roman" w:hAnsiTheme="minorEastAsia" w:cstheme="minorEastAsia"/>
                <w:kern w:val="0"/>
                <w:sz w:val="24"/>
              </w:rPr>
              <w:t>行政许可</w:t>
            </w:r>
          </w:p>
        </w:tc>
        <w:tc>
          <w:tcPr>
            <w:tcW w:w="5635" w:type="dxa"/>
            <w:gridSpan w:val="3"/>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　</w:t>
            </w:r>
            <w:r>
              <w:rPr>
                <w:rFonts w:hint="eastAsia" w:ascii="Times New Roman" w:hAnsiTheme="minorEastAsia" w:cstheme="minorEastAsia"/>
                <w:kern w:val="0"/>
                <w:sz w:val="24"/>
                <w:lang w:val="en-US" w:eastAsia="zh-CN"/>
              </w:rPr>
              <w:t>0</w:t>
            </w:r>
          </w:p>
        </w:tc>
      </w:tr>
      <w:tr>
        <w:tblPrEx>
          <w:tblCellMar>
            <w:top w:w="0" w:type="dxa"/>
            <w:left w:w="0" w:type="dxa"/>
            <w:bottom w:w="0" w:type="dxa"/>
            <w:right w:w="0" w:type="dxa"/>
          </w:tblCellMar>
        </w:tblPrEx>
        <w:trPr>
          <w:trHeight w:val="497" w:hRule="atLeast"/>
          <w:jc w:val="center"/>
        </w:trPr>
        <w:tc>
          <w:tcPr>
            <w:tcW w:w="8708" w:type="dxa"/>
            <w:gridSpan w:val="4"/>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第二十条第（六）项</w:t>
            </w:r>
          </w:p>
        </w:tc>
      </w:tr>
      <w:tr>
        <w:tblPrEx>
          <w:tblCellMar>
            <w:top w:w="0" w:type="dxa"/>
            <w:left w:w="0" w:type="dxa"/>
            <w:bottom w:w="0" w:type="dxa"/>
            <w:right w:w="0" w:type="dxa"/>
          </w:tblCellMar>
        </w:tblPrEx>
        <w:trPr>
          <w:trHeight w:val="5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信息内容</w:t>
            </w:r>
          </w:p>
        </w:tc>
        <w:tc>
          <w:tcPr>
            <w:tcW w:w="5635" w:type="dxa"/>
            <w:gridSpan w:val="3"/>
            <w:tcBorders>
              <w:top w:val="single" w:color="auto" w:sz="8" w:space="0"/>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lang w:eastAsia="zh-CN"/>
              </w:rPr>
              <w:t>本年</w:t>
            </w:r>
            <w:r>
              <w:rPr>
                <w:rFonts w:hint="eastAsia" w:ascii="Times New Roman" w:hAnsiTheme="minorEastAsia" w:cstheme="minorEastAsia"/>
                <w:kern w:val="0"/>
                <w:sz w:val="24"/>
              </w:rPr>
              <w:t>处理决定数量</w:t>
            </w:r>
          </w:p>
        </w:tc>
      </w:tr>
      <w:tr>
        <w:tblPrEx>
          <w:tblCellMar>
            <w:top w:w="0" w:type="dxa"/>
            <w:left w:w="0" w:type="dxa"/>
            <w:bottom w:w="0" w:type="dxa"/>
            <w:right w:w="0" w:type="dxa"/>
          </w:tblCellMar>
        </w:tblPrEx>
        <w:trPr>
          <w:trHeight w:val="43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imes New Roman" w:hAnsi="Times New Roman" w:cstheme="minorEastAsia"/>
                <w:kern w:val="0"/>
                <w:sz w:val="24"/>
              </w:rPr>
            </w:pPr>
            <w:r>
              <w:rPr>
                <w:rFonts w:hint="eastAsia" w:ascii="Times New Roman" w:hAnsiTheme="minorEastAsia" w:cstheme="minorEastAsia"/>
                <w:kern w:val="0"/>
                <w:sz w:val="24"/>
              </w:rPr>
              <w:t>行政处罚</w:t>
            </w:r>
          </w:p>
        </w:tc>
        <w:tc>
          <w:tcPr>
            <w:tcW w:w="5635" w:type="dxa"/>
            <w:gridSpan w:val="3"/>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0　</w:t>
            </w:r>
          </w:p>
        </w:tc>
      </w:tr>
      <w:tr>
        <w:tblPrEx>
          <w:tblCellMar>
            <w:top w:w="0" w:type="dxa"/>
            <w:left w:w="0" w:type="dxa"/>
            <w:bottom w:w="0" w:type="dxa"/>
            <w:right w:w="0" w:type="dxa"/>
          </w:tblCellMar>
        </w:tblPrEx>
        <w:trPr>
          <w:trHeight w:val="409"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imes New Roman" w:hAnsi="Times New Roman" w:cstheme="minorEastAsia"/>
                <w:kern w:val="0"/>
                <w:sz w:val="24"/>
              </w:rPr>
            </w:pPr>
            <w:r>
              <w:rPr>
                <w:rFonts w:hint="eastAsia" w:ascii="Times New Roman" w:hAnsiTheme="minorEastAsia" w:cstheme="minorEastAsia"/>
                <w:kern w:val="0"/>
                <w:sz w:val="24"/>
              </w:rPr>
              <w:t>行政强制</w:t>
            </w:r>
          </w:p>
        </w:tc>
        <w:tc>
          <w:tcPr>
            <w:tcW w:w="5635" w:type="dxa"/>
            <w:gridSpan w:val="3"/>
            <w:tcBorders>
              <w:top w:val="nil"/>
              <w:left w:val="nil"/>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0　</w:t>
            </w:r>
          </w:p>
        </w:tc>
      </w:tr>
      <w:tr>
        <w:tblPrEx>
          <w:tblCellMar>
            <w:top w:w="0" w:type="dxa"/>
            <w:left w:w="0" w:type="dxa"/>
            <w:bottom w:w="0" w:type="dxa"/>
            <w:right w:w="0" w:type="dxa"/>
          </w:tblCellMar>
        </w:tblPrEx>
        <w:trPr>
          <w:trHeight w:val="474" w:hRule="atLeast"/>
          <w:jc w:val="center"/>
        </w:trPr>
        <w:tc>
          <w:tcPr>
            <w:tcW w:w="8708" w:type="dxa"/>
            <w:gridSpan w:val="4"/>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第二十条第（八）项</w:t>
            </w:r>
          </w:p>
        </w:tc>
      </w:tr>
      <w:tr>
        <w:tblPrEx>
          <w:tblCellMar>
            <w:top w:w="0" w:type="dxa"/>
            <w:left w:w="0" w:type="dxa"/>
            <w:bottom w:w="0" w:type="dxa"/>
            <w:right w:w="0" w:type="dxa"/>
          </w:tblCellMar>
        </w:tblPrEx>
        <w:trPr>
          <w:trHeight w:val="447"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heme="minorEastAsia" w:cstheme="minorEastAsia"/>
                <w:kern w:val="0"/>
                <w:sz w:val="24"/>
              </w:rPr>
              <w:t>信息内容</w:t>
            </w:r>
          </w:p>
        </w:tc>
        <w:tc>
          <w:tcPr>
            <w:tcW w:w="5635" w:type="dxa"/>
            <w:gridSpan w:val="3"/>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widowControl/>
              <w:tabs>
                <w:tab w:val="left" w:pos="1848"/>
              </w:tabs>
              <w:jc w:val="left"/>
              <w:rPr>
                <w:rFonts w:hint="eastAsia" w:ascii="Times New Roman" w:hAnsi="Times New Roman" w:eastAsiaTheme="minorEastAsia" w:cstheme="minorEastAsia"/>
                <w:kern w:val="0"/>
                <w:sz w:val="24"/>
                <w:lang w:eastAsia="zh-CN"/>
              </w:rPr>
            </w:pPr>
            <w:r>
              <w:rPr>
                <w:rFonts w:hint="eastAsia" w:ascii="Times New Roman" w:hAnsi="Times New Roman" w:cstheme="minorEastAsia"/>
                <w:kern w:val="0"/>
                <w:sz w:val="24"/>
                <w:lang w:eastAsia="zh-CN"/>
              </w:rPr>
              <w:tab/>
            </w:r>
            <w:r>
              <w:rPr>
                <w:rFonts w:hint="eastAsia" w:ascii="Times New Roman" w:hAnsi="Times New Roman" w:cstheme="minorEastAsia"/>
                <w:kern w:val="0"/>
                <w:sz w:val="24"/>
                <w:lang w:eastAsia="zh-CN"/>
              </w:rPr>
              <w:t>本年收费金额（单位：万元）</w:t>
            </w:r>
          </w:p>
        </w:tc>
      </w:tr>
      <w:tr>
        <w:tblPrEx>
          <w:tblCellMar>
            <w:top w:w="0" w:type="dxa"/>
            <w:left w:w="0" w:type="dxa"/>
            <w:bottom w:w="0" w:type="dxa"/>
            <w:right w:w="0" w:type="dxa"/>
          </w:tblCellMar>
        </w:tblPrEx>
        <w:trPr>
          <w:trHeight w:val="440" w:hRule="atLeast"/>
          <w:jc w:val="center"/>
        </w:trPr>
        <w:tc>
          <w:tcPr>
            <w:tcW w:w="3073" w:type="dxa"/>
            <w:tcBorders>
              <w:top w:val="nil"/>
              <w:left w:val="single" w:color="auto" w:sz="8" w:space="0"/>
              <w:bottom w:val="single" w:color="auto" w:sz="8" w:space="0"/>
              <w:right w:val="single" w:color="auto" w:sz="8" w:space="0"/>
            </w:tcBorders>
            <w:shd w:val="clear" w:color="auto" w:fill="FFFFFF" w:themeFill="background1"/>
            <w:tcMar>
              <w:left w:w="108" w:type="dxa"/>
              <w:right w:w="108" w:type="dxa"/>
            </w:tcMar>
            <w:vAlign w:val="center"/>
          </w:tcPr>
          <w:p>
            <w:pPr>
              <w:widowControl/>
              <w:jc w:val="left"/>
              <w:rPr>
                <w:rFonts w:ascii="Times New Roman" w:hAnsi="Times New Roman" w:cstheme="minorEastAsia"/>
                <w:kern w:val="0"/>
                <w:sz w:val="24"/>
              </w:rPr>
            </w:pPr>
            <w:r>
              <w:rPr>
                <w:rFonts w:hint="eastAsia" w:ascii="Times New Roman" w:hAnsiTheme="minorEastAsia" w:cstheme="minorEastAsia"/>
                <w:kern w:val="0"/>
                <w:sz w:val="24"/>
              </w:rPr>
              <w:t>行政事业性收费</w:t>
            </w:r>
          </w:p>
        </w:tc>
        <w:tc>
          <w:tcPr>
            <w:tcW w:w="5635" w:type="dxa"/>
            <w:gridSpan w:val="3"/>
            <w:tcBorders>
              <w:top w:val="nil"/>
              <w:left w:val="nil"/>
              <w:bottom w:val="single" w:color="auto" w:sz="8" w:space="0"/>
              <w:right w:val="single" w:color="000000" w:sz="8" w:space="0"/>
            </w:tcBorders>
            <w:shd w:val="clear" w:color="auto" w:fill="FFFFFF" w:themeFill="background1"/>
            <w:tcMar>
              <w:left w:w="108" w:type="dxa"/>
              <w:right w:w="108" w:type="dxa"/>
            </w:tcMar>
            <w:vAlign w:val="center"/>
          </w:tcPr>
          <w:p>
            <w:pPr>
              <w:widowControl/>
              <w:jc w:val="center"/>
              <w:rPr>
                <w:rFonts w:ascii="Times New Roman" w:hAnsi="Times New Roman" w:cstheme="minorEastAsia"/>
                <w:kern w:val="0"/>
                <w:sz w:val="24"/>
              </w:rPr>
            </w:pPr>
            <w:r>
              <w:rPr>
                <w:rFonts w:hint="eastAsia" w:ascii="Times New Roman" w:hAnsi="Times New Roman" w:cstheme="minorEastAsia"/>
                <w:kern w:val="0"/>
                <w:sz w:val="24"/>
              </w:rPr>
              <w:t>0 </w:t>
            </w:r>
          </w:p>
        </w:tc>
      </w:tr>
    </w:tbl>
    <w:p>
      <w:pPr>
        <w:pStyle w:val="4"/>
        <w:widowControl/>
        <w:shd w:val="clear" w:color="auto" w:fill="FFFFFF"/>
        <w:spacing w:beforeAutospacing="0" w:afterAutospacing="0"/>
        <w:ind w:firstLine="420"/>
        <w:jc w:val="both"/>
        <w:rPr>
          <w:rFonts w:ascii="Times New Roman" w:hAnsi="Times New Roman" w:eastAsia="宋体" w:cs="宋体"/>
        </w:rPr>
      </w:pPr>
    </w:p>
    <w:p>
      <w:pPr>
        <w:pStyle w:val="4"/>
        <w:widowControl/>
        <w:shd w:val="clear" w:color="auto" w:fill="FFFFFF"/>
        <w:spacing w:beforeAutospacing="0" w:after="240" w:afterAutospacing="0"/>
        <w:ind w:left="-199" w:leftChars="-95" w:firstLine="620"/>
        <w:jc w:val="both"/>
        <w:rPr>
          <w:rFonts w:ascii="Times New Roman" w:hAnsi="Times New Roman" w:eastAsia="黑体" w:cs="黑体"/>
          <w:sz w:val="32"/>
          <w:szCs w:val="32"/>
        </w:rPr>
      </w:pPr>
      <w:r>
        <w:rPr>
          <w:rFonts w:hint="eastAsia" w:ascii="Times New Roman" w:hAnsi="黑体" w:eastAsia="黑体" w:cs="黑体"/>
          <w:b/>
          <w:sz w:val="32"/>
          <w:szCs w:val="32"/>
          <w:shd w:val="clear" w:color="auto" w:fill="FFFFFF"/>
        </w:rPr>
        <w:t>三、收到和处理政府信息公开申请情况</w:t>
      </w: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525"/>
        <w:gridCol w:w="1418"/>
        <w:gridCol w:w="2835"/>
        <w:gridCol w:w="850"/>
        <w:gridCol w:w="567"/>
        <w:gridCol w:w="567"/>
        <w:gridCol w:w="567"/>
        <w:gridCol w:w="567"/>
        <w:gridCol w:w="540"/>
        <w:gridCol w:w="63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13" w:hRule="atLeast"/>
          <w:jc w:val="center"/>
        </w:trPr>
        <w:tc>
          <w:tcPr>
            <w:tcW w:w="4778"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Times New Roman" w:hAnsi="Times New Roman" w:eastAsia="宋体" w:cs="宋体"/>
                <w:kern w:val="0"/>
                <w:sz w:val="20"/>
                <w:szCs w:val="20"/>
              </w:rPr>
            </w:pPr>
            <w:r>
              <w:rPr>
                <w:rFonts w:hint="eastAsia" w:ascii="Times New Roman" w:hAnsi="宋体" w:eastAsia="宋体" w:cs="宋体"/>
                <w:kern w:val="0"/>
                <w:sz w:val="20"/>
                <w:szCs w:val="20"/>
              </w:rPr>
              <w:t>（本列数据的勾稽关系为：第一项加第二项之和，</w:t>
            </w:r>
          </w:p>
          <w:p>
            <w:pPr>
              <w:widowControl/>
              <w:jc w:val="center"/>
              <w:rPr>
                <w:rFonts w:ascii="Times New Roman" w:hAnsi="Times New Roman"/>
              </w:rPr>
            </w:pPr>
            <w:r>
              <w:rPr>
                <w:rFonts w:hint="eastAsia" w:ascii="Times New Roman" w:hAnsi="宋体" w:eastAsia="宋体" w:cs="宋体"/>
                <w:kern w:val="0"/>
                <w:sz w:val="20"/>
                <w:szCs w:val="20"/>
              </w:rPr>
              <w:t>等于第三项加第四项之和）</w:t>
            </w:r>
          </w:p>
        </w:tc>
        <w:tc>
          <w:tcPr>
            <w:tcW w:w="4293"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ascii="Times New Roman" w:hAnsi="Times New Roman"/>
              </w:rPr>
            </w:pPr>
            <w:r>
              <w:rPr>
                <w:rFonts w:hint="eastAsia" w:ascii="Times New Roman" w:hAnsi="宋体" w:eastAsia="宋体" w:cs="宋体"/>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25"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Times New Roman" w:hAnsi="Times New Roman"/>
                <w:sz w:val="24"/>
              </w:rPr>
            </w:pPr>
          </w:p>
        </w:tc>
        <w:tc>
          <w:tcPr>
            <w:tcW w:w="850"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Times New Roman" w:hAnsi="Times New Roman"/>
              </w:rPr>
            </w:pPr>
            <w:r>
              <w:rPr>
                <w:rFonts w:hint="eastAsia" w:ascii="Times New Roman" w:hAnsi="宋体" w:eastAsia="宋体" w:cs="宋体"/>
                <w:kern w:val="0"/>
                <w:sz w:val="20"/>
                <w:szCs w:val="20"/>
              </w:rPr>
              <w:t>自然人</w:t>
            </w:r>
          </w:p>
        </w:tc>
        <w:tc>
          <w:tcPr>
            <w:tcW w:w="2808"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ascii="Times New Roman" w:hAnsi="Times New Roman"/>
              </w:rPr>
            </w:pPr>
            <w:r>
              <w:rPr>
                <w:rFonts w:hint="eastAsia" w:ascii="Times New Roman" w:hAnsi="宋体" w:eastAsia="宋体" w:cs="宋体"/>
                <w:kern w:val="0"/>
                <w:sz w:val="20"/>
                <w:szCs w:val="20"/>
              </w:rPr>
              <w:t>法人或其他组织</w:t>
            </w:r>
          </w:p>
        </w:tc>
        <w:tc>
          <w:tcPr>
            <w:tcW w:w="635"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Times New Roman" w:hAnsi="Times New Roman"/>
              </w:rPr>
            </w:pPr>
            <w:r>
              <w:rPr>
                <w:rFonts w:hint="eastAsia" w:ascii="Times New Roman" w:hAnsi="宋体" w:eastAsia="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7" w:hRule="atLeast"/>
          <w:jc w:val="center"/>
        </w:trPr>
        <w:tc>
          <w:tcPr>
            <w:tcW w:w="4778"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jc w:val="center"/>
              <w:rPr>
                <w:rFonts w:ascii="Times New Roman" w:hAnsi="Times New Roman"/>
                <w:sz w:val="24"/>
              </w:rPr>
            </w:pPr>
          </w:p>
        </w:tc>
        <w:tc>
          <w:tcPr>
            <w:tcW w:w="850"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ascii="Times New Roman" w:hAnsi="Times New Roman"/>
                <w:sz w:val="24"/>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6" w:leftChars="-51" w:right="-107" w:rightChars="-51" w:hanging="1"/>
              <w:jc w:val="center"/>
              <w:rPr>
                <w:rFonts w:ascii="Times New Roman" w:hAnsi="Times New Roman"/>
              </w:rPr>
            </w:pPr>
            <w:r>
              <w:rPr>
                <w:rFonts w:hint="eastAsia" w:ascii="Times New Roman" w:hAnsi="宋体" w:eastAsia="宋体" w:cs="宋体"/>
                <w:kern w:val="0"/>
                <w:sz w:val="20"/>
                <w:szCs w:val="20"/>
              </w:rPr>
              <w:t>商业企业</w:t>
            </w: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7" w:leftChars="-51" w:right="-107" w:rightChars="-51"/>
              <w:jc w:val="center"/>
              <w:rPr>
                <w:rFonts w:ascii="Times New Roman" w:hAnsi="Times New Roman"/>
              </w:rPr>
            </w:pPr>
            <w:r>
              <w:rPr>
                <w:rFonts w:hint="eastAsia" w:ascii="Times New Roman" w:hAnsi="宋体" w:eastAsia="宋体" w:cs="宋体"/>
                <w:kern w:val="0"/>
                <w:sz w:val="20"/>
                <w:szCs w:val="20"/>
              </w:rPr>
              <w:t>科研机构</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7" w:leftChars="-51" w:right="-107" w:rightChars="-51"/>
              <w:jc w:val="center"/>
              <w:rPr>
                <w:rFonts w:ascii="Times New Roman" w:hAnsi="Times New Roman"/>
              </w:rPr>
            </w:pPr>
            <w:r>
              <w:rPr>
                <w:rFonts w:hint="eastAsia" w:ascii="Times New Roman" w:hAnsi="宋体" w:eastAsia="宋体" w:cs="宋体"/>
                <w:kern w:val="0"/>
                <w:sz w:val="20"/>
                <w:szCs w:val="20"/>
              </w:rPr>
              <w:t>社会公益组织</w:t>
            </w:r>
          </w:p>
        </w:tc>
        <w:tc>
          <w:tcPr>
            <w:tcW w:w="56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ind w:left="-106" w:leftChars="-51" w:right="-107" w:rightChars="-51" w:hanging="1"/>
              <w:jc w:val="center"/>
              <w:rPr>
                <w:rFonts w:ascii="Times New Roman" w:hAnsi="Times New Roman"/>
              </w:rPr>
            </w:pPr>
            <w:r>
              <w:rPr>
                <w:rFonts w:hint="eastAsia" w:ascii="Times New Roman" w:hAnsi="宋体" w:eastAsia="宋体" w:cs="宋体"/>
                <w:kern w:val="0"/>
                <w:sz w:val="20"/>
                <w:szCs w:val="20"/>
              </w:rPr>
              <w:t>法律服务机构</w:t>
            </w:r>
          </w:p>
        </w:tc>
        <w:tc>
          <w:tcPr>
            <w:tcW w:w="54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60" w:lineRule="exact"/>
              <w:ind w:left="-63" w:leftChars="-30" w:right="-134" w:rightChars="-64"/>
              <w:jc w:val="center"/>
              <w:rPr>
                <w:rFonts w:ascii="Times New Roman" w:hAnsi="Times New Roman"/>
              </w:rPr>
            </w:pPr>
            <w:r>
              <w:rPr>
                <w:rFonts w:hint="eastAsia" w:ascii="Times New Roman" w:hAnsi="宋体" w:eastAsia="宋体" w:cs="宋体"/>
                <w:kern w:val="0"/>
                <w:sz w:val="20"/>
                <w:szCs w:val="20"/>
              </w:rPr>
              <w:t>其他</w:t>
            </w:r>
          </w:p>
        </w:tc>
        <w:tc>
          <w:tcPr>
            <w:tcW w:w="635"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jc w:val="center"/>
              <w:rPr>
                <w:rFonts w:ascii="Times New Roman" w:hAnsi="Times New Roman"/>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rPr>
                <w:rFonts w:ascii="Times New Roman" w:hAnsi="Times New Roman"/>
              </w:rPr>
            </w:pPr>
            <w:r>
              <w:rPr>
                <w:rFonts w:hint="eastAsia" w:ascii="Times New Roman" w:hAnsi="宋体" w:eastAsia="宋体" w:cs="宋体"/>
                <w:kern w:val="0"/>
                <w:sz w:val="20"/>
                <w:szCs w:val="20"/>
              </w:rPr>
              <w:t>一、本年新收政府信息公开申请数量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rPr>
                <w:rFonts w:ascii="Times New Roman" w:hAnsi="Times New Roman"/>
              </w:rPr>
            </w:pPr>
            <w:r>
              <w:rPr>
                <w:rFonts w:hint="eastAsia" w:ascii="Times New Roman" w:hAnsi="宋体" w:eastAsia="宋体" w:cs="宋体"/>
                <w:kern w:val="0"/>
                <w:sz w:val="20"/>
                <w:szCs w:val="20"/>
              </w:rPr>
              <w:t>二、上年结转政府信息公开申请数量</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25"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rPr>
                <w:rFonts w:ascii="Times New Roman" w:hAnsi="Times New Roman"/>
                <w:sz w:val="15"/>
                <w:szCs w:val="15"/>
              </w:rPr>
            </w:pPr>
            <w:r>
              <w:rPr>
                <w:rFonts w:hint="eastAsia" w:ascii="Times New Roman" w:hAnsi="宋体" w:eastAsia="宋体" w:cs="宋体"/>
                <w:kern w:val="0"/>
                <w:sz w:val="15"/>
                <w:szCs w:val="15"/>
              </w:rPr>
              <w:t>三、本年度办理结果</w:t>
            </w: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rPr>
                <w:rFonts w:ascii="Times New Roman" w:hAnsi="Times New Roman"/>
              </w:rPr>
            </w:pPr>
            <w:r>
              <w:rPr>
                <w:rFonts w:ascii="Times New Roman" w:hAnsi="楷体" w:eastAsia="楷体" w:cs="楷体"/>
                <w:kern w:val="0"/>
                <w:sz w:val="20"/>
                <w:szCs w:val="20"/>
              </w:rPr>
              <w:t>（一）予以公开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52"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rPr>
                <w:rFonts w:ascii="Times New Roman" w:hAnsi="Times New Roman"/>
              </w:rPr>
            </w:pPr>
            <w:r>
              <w:rPr>
                <w:rFonts w:hint="eastAsia" w:ascii="Times New Roman" w:hAnsi="楷体" w:eastAsia="楷体" w:cs="楷体"/>
                <w:kern w:val="0"/>
                <w:sz w:val="20"/>
                <w:szCs w:val="20"/>
              </w:rPr>
              <w:t>（二）部分公开（区分处理的，只计这一情形，不计其他情形）</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rPr>
                <w:rFonts w:ascii="Times New Roman" w:hAnsi="Times New Roman"/>
              </w:rPr>
            </w:pPr>
            <w:r>
              <w:rPr>
                <w:rFonts w:hint="eastAsia" w:ascii="Times New Roman" w:hAnsi="楷体" w:eastAsia="楷体" w:cs="楷体"/>
                <w:kern w:val="0"/>
                <w:sz w:val="20"/>
                <w:szCs w:val="20"/>
              </w:rPr>
              <w:t>（三）不予公开</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1.</w:t>
            </w:r>
            <w:r>
              <w:rPr>
                <w:rFonts w:hint="eastAsia" w:ascii="Times New Roman" w:hAnsi="楷体" w:eastAsia="楷体" w:cs="楷体"/>
                <w:kern w:val="0"/>
                <w:sz w:val="20"/>
                <w:szCs w:val="20"/>
              </w:rPr>
              <w:t>属于国家秘密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2.</w:t>
            </w:r>
            <w:r>
              <w:rPr>
                <w:rFonts w:hint="eastAsia" w:ascii="Times New Roman" w:hAnsi="楷体" w:eastAsia="楷体" w:cs="楷体"/>
                <w:kern w:val="0"/>
                <w:sz w:val="20"/>
                <w:szCs w:val="20"/>
              </w:rPr>
              <w:t>其他法律行政法规禁止公开</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3.</w:t>
            </w:r>
            <w:r>
              <w:rPr>
                <w:rFonts w:hint="eastAsia" w:ascii="Times New Roman" w:hAnsi="楷体" w:eastAsia="楷体" w:cs="楷体"/>
                <w:kern w:val="0"/>
                <w:sz w:val="20"/>
                <w:szCs w:val="20"/>
              </w:rPr>
              <w:t>危及</w:t>
            </w:r>
            <w:r>
              <w:rPr>
                <w:rFonts w:hint="eastAsia" w:ascii="Times New Roman" w:hAnsi="Times New Roman" w:eastAsia="楷体" w:cs="楷体"/>
                <w:kern w:val="0"/>
                <w:sz w:val="20"/>
                <w:szCs w:val="20"/>
              </w:rPr>
              <w:t>“</w:t>
            </w:r>
            <w:r>
              <w:rPr>
                <w:rFonts w:hint="eastAsia" w:ascii="Times New Roman" w:hAnsi="楷体" w:eastAsia="楷体" w:cs="楷体"/>
                <w:kern w:val="0"/>
                <w:sz w:val="20"/>
                <w:szCs w:val="20"/>
              </w:rPr>
              <w:t>三安全一稳定</w:t>
            </w:r>
            <w:r>
              <w:rPr>
                <w:rFonts w:hint="eastAsia" w:ascii="Times New Roman" w:hAnsi="Times New Roman" w:eastAsia="楷体" w:cs="楷体"/>
                <w:kern w:val="0"/>
                <w:sz w:val="20"/>
                <w:szCs w:val="20"/>
              </w:rPr>
              <w:t>”</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4.</w:t>
            </w:r>
            <w:r>
              <w:rPr>
                <w:rFonts w:hint="eastAsia" w:ascii="Times New Roman" w:hAnsi="楷体" w:eastAsia="楷体" w:cs="楷体"/>
                <w:kern w:val="0"/>
                <w:sz w:val="20"/>
                <w:szCs w:val="20"/>
              </w:rPr>
              <w:t>保护第三方合法权益</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5.</w:t>
            </w:r>
            <w:r>
              <w:rPr>
                <w:rFonts w:hint="eastAsia" w:ascii="Times New Roman" w:hAnsi="楷体" w:eastAsia="楷体" w:cs="楷体"/>
                <w:kern w:val="0"/>
                <w:sz w:val="20"/>
                <w:szCs w:val="20"/>
              </w:rPr>
              <w:t>属于三类内部事务信息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6.</w:t>
            </w:r>
            <w:r>
              <w:rPr>
                <w:rFonts w:hint="eastAsia" w:ascii="Times New Roman" w:hAnsi="楷体" w:eastAsia="楷体" w:cs="楷体"/>
                <w:kern w:val="0"/>
                <w:sz w:val="20"/>
                <w:szCs w:val="20"/>
              </w:rPr>
              <w:t>属于四类过程性信息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88"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7.</w:t>
            </w:r>
            <w:r>
              <w:rPr>
                <w:rFonts w:hint="eastAsia" w:ascii="Times New Roman" w:hAnsi="楷体" w:eastAsia="楷体" w:cs="楷体"/>
                <w:kern w:val="0"/>
                <w:sz w:val="20"/>
                <w:szCs w:val="20"/>
              </w:rPr>
              <w:t>属于行政执法案卷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15"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8.</w:t>
            </w:r>
            <w:r>
              <w:rPr>
                <w:rFonts w:hint="eastAsia" w:ascii="Times New Roman" w:hAnsi="楷体" w:eastAsia="楷体" w:cs="楷体"/>
                <w:kern w:val="0"/>
                <w:sz w:val="20"/>
                <w:szCs w:val="20"/>
              </w:rPr>
              <w:t>属于行政查询事项</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rPr>
                <w:rFonts w:ascii="Times New Roman" w:hAnsi="Times New Roman"/>
              </w:rPr>
            </w:pPr>
            <w:r>
              <w:rPr>
                <w:rFonts w:hint="eastAsia" w:ascii="Times New Roman" w:hAnsi="楷体" w:eastAsia="楷体" w:cs="楷体"/>
                <w:kern w:val="0"/>
                <w:sz w:val="20"/>
                <w:szCs w:val="20"/>
              </w:rPr>
              <w:t>（四）无法提供</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1.</w:t>
            </w:r>
            <w:r>
              <w:rPr>
                <w:rFonts w:hint="eastAsia" w:ascii="Times New Roman" w:hAnsi="楷体" w:eastAsia="楷体" w:cs="楷体"/>
                <w:kern w:val="0"/>
                <w:sz w:val="20"/>
                <w:szCs w:val="20"/>
              </w:rPr>
              <w:t>本机关不掌握相关政府信息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ind w:left="-107" w:leftChars="-51"/>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2.</w:t>
            </w:r>
            <w:r>
              <w:rPr>
                <w:rFonts w:hint="eastAsia" w:ascii="Times New Roman" w:hAnsi="楷体" w:eastAsia="楷体" w:cs="楷体"/>
                <w:kern w:val="0"/>
                <w:sz w:val="20"/>
                <w:szCs w:val="20"/>
              </w:rPr>
              <w:t>没有现成信息需要另行制作</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ind w:left="-107" w:leftChars="-51"/>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3.</w:t>
            </w:r>
            <w:r>
              <w:rPr>
                <w:rFonts w:hint="eastAsia" w:ascii="Times New Roman" w:hAnsi="楷体" w:eastAsia="楷体" w:cs="楷体"/>
                <w:kern w:val="0"/>
                <w:sz w:val="20"/>
                <w:szCs w:val="20"/>
              </w:rPr>
              <w:t>补正后申请内容仍不明确</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ind w:left="-107" w:leftChars="-51"/>
              <w:rPr>
                <w:rFonts w:ascii="Times New Roman" w:hAnsi="Times New Roman"/>
              </w:rPr>
            </w:pPr>
            <w:r>
              <w:rPr>
                <w:rFonts w:hint="eastAsia" w:ascii="Times New Roman" w:hAnsi="楷体" w:eastAsia="楷体" w:cs="楷体"/>
                <w:kern w:val="0"/>
                <w:sz w:val="20"/>
                <w:szCs w:val="20"/>
              </w:rPr>
              <w:t>（五）不予处理</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1.</w:t>
            </w:r>
            <w:r>
              <w:rPr>
                <w:rFonts w:hint="eastAsia" w:ascii="Times New Roman" w:hAnsi="楷体" w:eastAsia="楷体" w:cs="楷体"/>
                <w:kern w:val="0"/>
                <w:sz w:val="20"/>
                <w:szCs w:val="20"/>
              </w:rPr>
              <w:t>信访举报投诉类申请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2.</w:t>
            </w:r>
            <w:r>
              <w:rPr>
                <w:rFonts w:hint="eastAsia" w:ascii="Times New Roman" w:hAnsi="楷体" w:eastAsia="楷体" w:cs="楷体"/>
                <w:kern w:val="0"/>
                <w:sz w:val="20"/>
                <w:szCs w:val="20"/>
              </w:rPr>
              <w:t>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5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rPr>
            </w:pPr>
            <w:r>
              <w:rPr>
                <w:rFonts w:hint="eastAsia" w:ascii="Times New Roman" w:hAnsi="Times New Roman" w:eastAsia="楷体" w:cs="楷体"/>
                <w:kern w:val="0"/>
                <w:sz w:val="20"/>
                <w:szCs w:val="20"/>
              </w:rPr>
              <w:t>3.</w:t>
            </w:r>
            <w:r>
              <w:rPr>
                <w:rFonts w:hint="eastAsia" w:ascii="Times New Roman" w:hAnsi="楷体" w:eastAsia="楷体" w:cs="楷体"/>
                <w:kern w:val="0"/>
                <w:sz w:val="20"/>
                <w:szCs w:val="20"/>
              </w:rPr>
              <w:t>要求提供公开出版物</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rPr>
            </w:pPr>
            <w:r>
              <w:rPr>
                <w:rFonts w:hint="eastAsia" w:ascii="Times New Roman" w:hAnsi="Times New Roman" w:eastAsia="楷体" w:cs="楷体"/>
                <w:kern w:val="0"/>
                <w:sz w:val="20"/>
                <w:szCs w:val="20"/>
              </w:rPr>
              <w:t>4.</w:t>
            </w:r>
            <w:r>
              <w:rPr>
                <w:rFonts w:hint="eastAsia" w:ascii="Times New Roman" w:hAnsi="楷体" w:eastAsia="楷体" w:cs="楷体"/>
                <w:kern w:val="0"/>
                <w:sz w:val="20"/>
                <w:szCs w:val="20"/>
              </w:rPr>
              <w:t>无正当理由大量反复申请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23" w:hRule="atLeas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200" w:lineRule="exact"/>
              <w:rPr>
                <w:rFonts w:ascii="Times New Roman" w:hAnsi="Times New Roman"/>
                <w:sz w:val="24"/>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300" w:lineRule="exact"/>
              <w:rPr>
                <w:rFonts w:ascii="Times New Roman" w:hAnsi="Times New Roman" w:eastAsia="楷体" w:cs="楷体"/>
                <w:kern w:val="0"/>
                <w:sz w:val="20"/>
                <w:szCs w:val="20"/>
              </w:rPr>
            </w:pPr>
            <w:r>
              <w:rPr>
                <w:rFonts w:hint="eastAsia" w:ascii="Times New Roman" w:hAnsi="Times New Roman" w:eastAsia="楷体" w:cs="楷体"/>
                <w:kern w:val="0"/>
                <w:sz w:val="20"/>
                <w:szCs w:val="20"/>
              </w:rPr>
              <w:t>5.</w:t>
            </w:r>
            <w:r>
              <w:rPr>
                <w:rFonts w:hint="eastAsia" w:ascii="Times New Roman" w:hAnsi="楷体" w:eastAsia="楷体" w:cs="楷体"/>
                <w:kern w:val="0"/>
                <w:sz w:val="20"/>
                <w:szCs w:val="20"/>
              </w:rPr>
              <w:t>要求行政机关确认或重新</w:t>
            </w:r>
          </w:p>
          <w:p>
            <w:pPr>
              <w:widowControl/>
              <w:spacing w:line="300" w:lineRule="exact"/>
              <w:ind w:firstLine="200" w:firstLineChars="100"/>
              <w:rPr>
                <w:rFonts w:ascii="Times New Roman" w:hAnsi="Times New Roman"/>
              </w:rPr>
            </w:pPr>
            <w:r>
              <w:rPr>
                <w:rFonts w:hint="eastAsia" w:ascii="Times New Roman" w:hAnsi="楷体" w:eastAsia="楷体" w:cs="楷体"/>
                <w:kern w:val="0"/>
                <w:sz w:val="20"/>
                <w:szCs w:val="20"/>
              </w:rPr>
              <w:t>出具已获取信息</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61"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restart"/>
            <w:tcBorders>
              <w:top w:val="nil"/>
              <w:left w:val="nil"/>
              <w:right w:val="single" w:color="auto" w:sz="8" w:space="0"/>
            </w:tcBorders>
            <w:shd w:val="clear" w:color="auto" w:fill="auto"/>
            <w:tcMar>
              <w:left w:w="108" w:type="dxa"/>
              <w:right w:w="108" w:type="dxa"/>
            </w:tcMar>
            <w:vAlign w:val="center"/>
          </w:tcPr>
          <w:p>
            <w:pPr>
              <w:widowControl/>
              <w:numPr>
                <w:ilvl w:val="0"/>
                <w:numId w:val="2"/>
              </w:numPr>
              <w:spacing w:line="200" w:lineRule="exact"/>
              <w:rPr>
                <w:rFonts w:hint="eastAsia" w:ascii="Times New Roman" w:hAnsi="楷体" w:eastAsia="楷体" w:cs="楷体"/>
                <w:kern w:val="0"/>
                <w:sz w:val="20"/>
                <w:szCs w:val="20"/>
              </w:rPr>
            </w:pPr>
            <w:r>
              <w:rPr>
                <w:rFonts w:hint="eastAsia" w:ascii="Times New Roman" w:hAnsi="楷体" w:eastAsia="楷体" w:cs="楷体"/>
                <w:kern w:val="0"/>
                <w:sz w:val="20"/>
                <w:szCs w:val="20"/>
              </w:rPr>
              <w:t>其他</w:t>
            </w:r>
          </w:p>
          <w:p>
            <w:pPr>
              <w:widowControl/>
              <w:numPr>
                <w:ilvl w:val="0"/>
                <w:numId w:val="0"/>
              </w:numPr>
              <w:spacing w:line="200" w:lineRule="exact"/>
              <w:ind w:firstLine="600" w:firstLineChars="300"/>
              <w:rPr>
                <w:rFonts w:ascii="Times New Roman" w:hAnsi="Times New Roman"/>
              </w:rPr>
            </w:pPr>
            <w:r>
              <w:rPr>
                <w:rFonts w:hint="eastAsia" w:ascii="Times New Roman" w:hAnsi="楷体" w:eastAsia="楷体" w:cs="楷体"/>
                <w:kern w:val="0"/>
                <w:sz w:val="20"/>
                <w:szCs w:val="20"/>
              </w:rPr>
              <w:t>处理</w:t>
            </w: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楷体" w:eastAsia="楷体" w:cs="楷体"/>
                <w:kern w:val="0"/>
                <w:sz w:val="20"/>
                <w:szCs w:val="20"/>
                <w:lang w:val="en-US" w:eastAsia="zh-CN"/>
              </w:rPr>
            </w:pPr>
            <w:r>
              <w:rPr>
                <w:rFonts w:hint="eastAsia" w:ascii="Times New Roman" w:hAnsi="楷体" w:eastAsia="楷体" w:cs="楷体"/>
                <w:kern w:val="0"/>
                <w:sz w:val="20"/>
                <w:szCs w:val="20"/>
                <w:lang w:val="en-US" w:eastAsia="zh-CN"/>
              </w:rPr>
              <w:t>1.申请人无不正当理由逾期不补正，行政机关不再处理其政府信息公开申请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94"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left w:val="nil"/>
              <w:right w:val="single" w:color="auto" w:sz="8" w:space="0"/>
            </w:tcBorders>
            <w:shd w:val="clear" w:color="auto" w:fill="auto"/>
            <w:tcMar>
              <w:left w:w="108" w:type="dxa"/>
              <w:right w:w="108" w:type="dxa"/>
            </w:tcMar>
            <w:vAlign w:val="center"/>
          </w:tcPr>
          <w:p>
            <w:pPr>
              <w:widowControl/>
              <w:spacing w:line="200" w:lineRule="exact"/>
              <w:rPr>
                <w:rFonts w:hint="eastAsia" w:ascii="Times New Roman" w:hAnsi="楷体" w:eastAsia="楷体" w:cs="楷体"/>
                <w:kern w:val="0"/>
                <w:sz w:val="20"/>
                <w:szCs w:val="20"/>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楷体" w:eastAsia="楷体" w:cs="楷体"/>
                <w:kern w:val="0"/>
                <w:sz w:val="20"/>
                <w:szCs w:val="20"/>
                <w:lang w:val="en-US" w:eastAsia="zh-CN"/>
              </w:rPr>
            </w:pPr>
            <w:r>
              <w:rPr>
                <w:rFonts w:hint="eastAsia" w:ascii="Times New Roman" w:hAnsi="楷体" w:eastAsia="楷体" w:cs="楷体"/>
                <w:kern w:val="0"/>
                <w:sz w:val="20"/>
                <w:szCs w:val="20"/>
                <w:lang w:val="en-US" w:eastAsia="zh-CN"/>
              </w:rPr>
              <w:t>2.申请人逾期未按收费通知要求缴纳费用，行政机关不再处理其政府信息公开申请</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1418" w:type="dxa"/>
            <w:vMerge w:val="continue"/>
            <w:tcBorders>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eastAsia" w:ascii="Times New Roman" w:hAnsi="楷体" w:eastAsia="楷体" w:cs="楷体"/>
                <w:kern w:val="0"/>
                <w:sz w:val="20"/>
                <w:szCs w:val="20"/>
              </w:rPr>
            </w:pPr>
          </w:p>
        </w:tc>
        <w:tc>
          <w:tcPr>
            <w:tcW w:w="28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hint="default" w:ascii="Times New Roman" w:hAnsi="楷体" w:eastAsia="楷体" w:cs="楷体"/>
                <w:kern w:val="0"/>
                <w:sz w:val="20"/>
                <w:szCs w:val="20"/>
                <w:lang w:val="en-US" w:eastAsia="zh-CN"/>
              </w:rPr>
            </w:pPr>
            <w:r>
              <w:rPr>
                <w:rFonts w:hint="eastAsia" w:ascii="Times New Roman" w:hAnsi="楷体" w:eastAsia="楷体" w:cs="楷体"/>
                <w:kern w:val="0"/>
                <w:sz w:val="20"/>
                <w:szCs w:val="20"/>
                <w:lang w:val="en-US" w:eastAsia="zh-CN"/>
              </w:rPr>
              <w:t>3.其他</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hint="eastAsia" w:ascii="Times New Roman" w:hAnsi="Times New Roman"/>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525"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4253"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line="200" w:lineRule="exact"/>
              <w:rPr>
                <w:rFonts w:ascii="Times New Roman" w:hAnsi="Times New Roman"/>
              </w:rPr>
            </w:pPr>
            <w:r>
              <w:rPr>
                <w:rFonts w:hint="eastAsia" w:ascii="Times New Roman" w:hAnsi="楷体" w:eastAsia="楷体" w:cs="楷体"/>
                <w:kern w:val="0"/>
                <w:sz w:val="20"/>
                <w:szCs w:val="20"/>
              </w:rPr>
              <w:t>（七）总计</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200" w:lineRule="exact"/>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778"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rPr>
                <w:rFonts w:ascii="Times New Roman" w:hAnsi="Times New Roman"/>
              </w:rPr>
            </w:pPr>
            <w:r>
              <w:rPr>
                <w:rFonts w:hint="eastAsia" w:ascii="Times New Roman" w:hAnsi="宋体" w:eastAsia="宋体" w:cs="宋体"/>
                <w:kern w:val="0"/>
                <w:sz w:val="20"/>
                <w:szCs w:val="20"/>
              </w:rPr>
              <w:t>四、结转下年度继续办理</w:t>
            </w:r>
          </w:p>
        </w:tc>
        <w:tc>
          <w:tcPr>
            <w:tcW w:w="8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67"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54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p>
        </w:tc>
        <w:tc>
          <w:tcPr>
            <w:tcW w:w="635" w:type="dxa"/>
            <w:tcBorders>
              <w:top w:val="nil"/>
              <w:left w:val="nil"/>
              <w:bottom w:val="single" w:color="auto" w:sz="8" w:space="0"/>
              <w:right w:val="single" w:color="auto" w:sz="8" w:space="0"/>
            </w:tcBorders>
            <w:shd w:val="clear" w:color="auto" w:fill="auto"/>
            <w:tcMar>
              <w:left w:w="108" w:type="dxa"/>
              <w:right w:w="108" w:type="dxa"/>
            </w:tcMar>
            <w:vAlign w:val="center"/>
          </w:tcPr>
          <w:p>
            <w:pPr>
              <w:jc w:val="center"/>
              <w:rPr>
                <w:rFonts w:ascii="Times New Roman" w:hAnsi="Times New Roman"/>
                <w:sz w:val="24"/>
              </w:rPr>
            </w:pPr>
            <w:r>
              <w:rPr>
                <w:rFonts w:hint="eastAsia" w:ascii="Times New Roman" w:hAnsi="Times New Roman"/>
                <w:sz w:val="24"/>
              </w:rPr>
              <w:t>0</w:t>
            </w:r>
          </w:p>
        </w:tc>
      </w:tr>
    </w:tbl>
    <w:p>
      <w:pPr>
        <w:pStyle w:val="4"/>
        <w:widowControl/>
        <w:shd w:val="clear" w:color="auto" w:fill="FFFFFF"/>
        <w:spacing w:beforeAutospacing="0" w:afterAutospacing="0"/>
        <w:ind w:firstLine="420"/>
        <w:jc w:val="both"/>
        <w:rPr>
          <w:rFonts w:ascii="Times New Roman" w:hAnsi="Times New Roman" w:eastAsia="宋体" w:cs="宋体"/>
        </w:rPr>
      </w:pPr>
    </w:p>
    <w:p>
      <w:pPr>
        <w:pStyle w:val="4"/>
        <w:widowControl/>
        <w:numPr>
          <w:ilvl w:val="0"/>
          <w:numId w:val="3"/>
        </w:numPr>
        <w:shd w:val="clear" w:color="auto" w:fill="FFFFFF"/>
        <w:spacing w:beforeAutospacing="0" w:afterAutospacing="0"/>
        <w:ind w:firstLine="420"/>
        <w:jc w:val="both"/>
        <w:rPr>
          <w:rFonts w:hint="eastAsia" w:ascii="Times New Roman" w:hAnsi="黑体" w:eastAsia="黑体" w:cs="宋体"/>
          <w:sz w:val="32"/>
          <w:szCs w:val="32"/>
          <w:shd w:val="clear" w:color="auto" w:fill="FFFFFF"/>
        </w:rPr>
      </w:pPr>
      <w:r>
        <w:rPr>
          <w:rFonts w:hint="eastAsia" w:ascii="Times New Roman" w:hAnsi="黑体" w:eastAsia="黑体" w:cs="宋体"/>
          <w:sz w:val="32"/>
          <w:szCs w:val="32"/>
          <w:shd w:val="clear" w:color="auto" w:fill="FFFFFF"/>
        </w:rPr>
        <w:t>政府信息公开行政复议、行政诉讼情况</w:t>
      </w:r>
    </w:p>
    <w:p>
      <w:pPr>
        <w:pStyle w:val="4"/>
        <w:widowControl/>
        <w:numPr>
          <w:ilvl w:val="0"/>
          <w:numId w:val="0"/>
        </w:numPr>
        <w:shd w:val="clear" w:color="auto" w:fill="FFFFFF"/>
        <w:spacing w:beforeAutospacing="0" w:afterAutospacing="0"/>
        <w:jc w:val="both"/>
        <w:rPr>
          <w:rFonts w:hint="eastAsia" w:ascii="Times New Roman" w:hAnsi="黑体" w:eastAsia="黑体" w:cs="宋体"/>
          <w:sz w:val="32"/>
          <w:szCs w:val="32"/>
          <w:shd w:val="clear" w:color="auto" w:fill="FFFFFF"/>
        </w:rPr>
      </w:pPr>
    </w:p>
    <w:p>
      <w:pPr>
        <w:pStyle w:val="4"/>
        <w:widowControl/>
        <w:shd w:val="clear" w:color="auto" w:fill="FFFFFF"/>
        <w:spacing w:beforeAutospacing="0" w:afterAutospacing="0"/>
        <w:ind w:firstLine="420"/>
        <w:jc w:val="both"/>
        <w:rPr>
          <w:rFonts w:ascii="Times New Roman" w:hAnsi="Times New Roman" w:eastAsia="宋体" w:cs="宋体"/>
        </w:rPr>
      </w:pPr>
    </w:p>
    <w:tbl>
      <w:tblPr>
        <w:tblStyle w:val="5"/>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jc w:val="center"/>
              <w:rPr>
                <w:rFonts w:ascii="Times New Roman" w:hAnsi="Times New Roman"/>
              </w:rPr>
            </w:pPr>
            <w:r>
              <w:rPr>
                <w:rFonts w:hint="eastAsia" w:ascii="Times New Roman"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Times New Roman" w:hAnsi="Times New Roman"/>
              </w:rPr>
            </w:pPr>
            <w:r>
              <w:rPr>
                <w:rFonts w:hint="eastAsia" w:ascii="Times New Roman" w:hAnsi="宋体" w:eastAsia="宋体" w:cs="宋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ind w:left="-149" w:leftChars="-71" w:right="-170" w:rightChars="-81"/>
              <w:jc w:val="center"/>
              <w:rPr>
                <w:rFonts w:ascii="Times New Roman" w:hAnsi="Times New Roman" w:eastAsia="宋体" w:cs="宋体"/>
                <w:kern w:val="0"/>
                <w:sz w:val="20"/>
                <w:szCs w:val="20"/>
              </w:rPr>
            </w:pPr>
            <w:r>
              <w:rPr>
                <w:rFonts w:hint="eastAsia" w:ascii="Times New Roman" w:hAnsi="宋体" w:eastAsia="宋体" w:cs="宋体"/>
                <w:kern w:val="0"/>
                <w:sz w:val="20"/>
                <w:szCs w:val="20"/>
              </w:rPr>
              <w:t>结果</w:t>
            </w:r>
          </w:p>
          <w:p>
            <w:pPr>
              <w:widowControl/>
              <w:ind w:left="-149" w:leftChars="-71" w:right="-170" w:rightChars="-81"/>
              <w:jc w:val="center"/>
              <w:rPr>
                <w:rFonts w:ascii="Times New Roman" w:hAnsi="Times New Roman"/>
              </w:rPr>
            </w:pPr>
            <w:r>
              <w:rPr>
                <w:rFonts w:hint="eastAsia" w:ascii="Times New Roman" w:hAnsi="宋体" w:eastAsia="宋体" w:cs="宋体"/>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43" w:leftChars="-21" w:right="-132" w:rightChars="-63" w:hanging="1"/>
              <w:jc w:val="center"/>
              <w:rPr>
                <w:rFonts w:ascii="Times New Roman" w:hAnsi="Times New Roman"/>
              </w:rPr>
            </w:pPr>
            <w:r>
              <w:rPr>
                <w:rFonts w:hint="eastAsia" w:ascii="Times New Roman"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82" w:leftChars="-39" w:right="-97" w:rightChars="-46"/>
              <w:jc w:val="center"/>
              <w:rPr>
                <w:rFonts w:ascii="Times New Roman" w:hAnsi="Times New Roman"/>
              </w:rPr>
            </w:pPr>
            <w:r>
              <w:rPr>
                <w:rFonts w:hint="eastAsia" w:ascii="Times New Roman"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18" w:leftChars="-56" w:right="-118" w:rightChars="-56"/>
              <w:jc w:val="center"/>
              <w:rPr>
                <w:rFonts w:ascii="Times New Roman" w:hAnsi="Times New Roman" w:eastAsia="宋体" w:cs="宋体"/>
                <w:kern w:val="0"/>
                <w:sz w:val="20"/>
                <w:szCs w:val="20"/>
              </w:rPr>
            </w:pPr>
            <w:r>
              <w:rPr>
                <w:rFonts w:hint="eastAsia" w:ascii="Times New Roman" w:hAnsi="宋体" w:eastAsia="宋体" w:cs="宋体"/>
                <w:kern w:val="0"/>
                <w:sz w:val="20"/>
                <w:szCs w:val="20"/>
              </w:rPr>
              <w:t>尚未</w:t>
            </w:r>
          </w:p>
          <w:p>
            <w:pPr>
              <w:widowControl/>
              <w:ind w:left="-118" w:leftChars="-56" w:right="-118" w:rightChars="-56"/>
              <w:jc w:val="center"/>
              <w:rPr>
                <w:rFonts w:ascii="Times New Roman" w:hAnsi="Times New Roman"/>
              </w:rPr>
            </w:pPr>
            <w:r>
              <w:rPr>
                <w:rFonts w:hint="eastAsia" w:ascii="Times New Roman" w:hAnsi="宋体" w:eastAsia="宋体" w:cs="宋体"/>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line="320" w:lineRule="exact"/>
              <w:jc w:val="center"/>
              <w:rPr>
                <w:rFonts w:ascii="Times New Roman" w:hAnsi="Times New Roman" w:eastAsia="宋体" w:cs="宋体"/>
                <w:kern w:val="0"/>
                <w:sz w:val="20"/>
                <w:szCs w:val="20"/>
              </w:rPr>
            </w:pPr>
            <w:r>
              <w:rPr>
                <w:rFonts w:hint="eastAsia" w:ascii="Times New Roman" w:hAnsi="宋体" w:eastAsia="宋体" w:cs="宋体"/>
                <w:kern w:val="0"/>
                <w:sz w:val="20"/>
                <w:szCs w:val="20"/>
              </w:rPr>
              <w:t>总</w:t>
            </w:r>
          </w:p>
          <w:p>
            <w:pPr>
              <w:widowControl/>
              <w:spacing w:line="320" w:lineRule="exact"/>
              <w:jc w:val="center"/>
              <w:rPr>
                <w:rFonts w:ascii="Times New Roman" w:hAnsi="Times New Roman"/>
              </w:rPr>
            </w:pPr>
            <w:r>
              <w:rPr>
                <w:rFonts w:hint="eastAsia" w:ascii="Times New Roman" w:hAnsi="宋体" w:eastAsia="宋体" w:cs="宋体"/>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Times New Roman" w:hAnsi="Times New Roman"/>
              </w:rPr>
            </w:pPr>
            <w:r>
              <w:rPr>
                <w:rFonts w:hint="eastAsia" w:ascii="Times New Roman"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Times New Roman" w:hAnsi="Times New Roman"/>
              </w:rPr>
            </w:pPr>
            <w:r>
              <w:rPr>
                <w:rFonts w:hint="eastAsia" w:ascii="Times New Roman" w:hAnsi="宋体" w:eastAsia="宋体" w:cs="宋体"/>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105" w:leftChars="-50" w:right="-126" w:rightChars="-60"/>
              <w:jc w:val="center"/>
              <w:rPr>
                <w:rFonts w:ascii="Times New Roman" w:hAnsi="Times New Roman"/>
              </w:rPr>
            </w:pPr>
            <w:r>
              <w:rPr>
                <w:rFonts w:hint="eastAsia" w:ascii="Times New Roman" w:hAnsi="宋体" w:eastAsia="宋体" w:cs="宋体"/>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ind w:left="-86" w:leftChars="-41" w:right="-88" w:rightChars="-42"/>
              <w:jc w:val="center"/>
              <w:rPr>
                <w:rFonts w:ascii="Times New Roman" w:hAnsi="Times New Roman"/>
              </w:rPr>
            </w:pPr>
            <w:r>
              <w:rPr>
                <w:rFonts w:hint="eastAsia" w:ascii="Times New Roman"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26" w:leftChars="-60" w:right="-136" w:rightChars="-65"/>
              <w:jc w:val="center"/>
              <w:rPr>
                <w:rFonts w:ascii="Times New Roman" w:hAnsi="Times New Roman" w:eastAsia="宋体" w:cs="宋体"/>
                <w:kern w:val="0"/>
                <w:sz w:val="20"/>
                <w:szCs w:val="20"/>
              </w:rPr>
            </w:pPr>
            <w:r>
              <w:rPr>
                <w:rFonts w:hint="eastAsia" w:ascii="Times New Roman" w:hAnsi="宋体" w:eastAsia="宋体" w:cs="宋体"/>
                <w:kern w:val="0"/>
                <w:sz w:val="20"/>
                <w:szCs w:val="20"/>
              </w:rPr>
              <w:t>其他</w:t>
            </w:r>
          </w:p>
          <w:p>
            <w:pPr>
              <w:widowControl/>
              <w:ind w:left="-126" w:leftChars="-60" w:right="-136" w:rightChars="-65"/>
              <w:jc w:val="center"/>
              <w:rPr>
                <w:rFonts w:ascii="Times New Roman" w:hAnsi="Times New Roman"/>
              </w:rPr>
            </w:pPr>
            <w:r>
              <w:rPr>
                <w:rFonts w:hint="eastAsia" w:ascii="Times New Roman" w:hAnsi="宋体" w:eastAsia="宋体" w:cs="宋体"/>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64" w:leftChars="-78" w:right="-153" w:rightChars="-73"/>
              <w:jc w:val="center"/>
              <w:rPr>
                <w:rFonts w:ascii="Times New Roman" w:hAnsi="Times New Roman" w:eastAsia="宋体" w:cs="宋体"/>
                <w:kern w:val="0"/>
                <w:sz w:val="20"/>
                <w:szCs w:val="20"/>
              </w:rPr>
            </w:pPr>
            <w:r>
              <w:rPr>
                <w:rFonts w:hint="eastAsia" w:ascii="Times New Roman" w:hAnsi="宋体" w:eastAsia="宋体" w:cs="宋体"/>
                <w:kern w:val="0"/>
                <w:sz w:val="20"/>
                <w:szCs w:val="20"/>
              </w:rPr>
              <w:t>尚未</w:t>
            </w:r>
          </w:p>
          <w:p>
            <w:pPr>
              <w:widowControl/>
              <w:ind w:left="-164" w:leftChars="-78" w:right="-153" w:rightChars="-73"/>
              <w:jc w:val="center"/>
              <w:rPr>
                <w:rFonts w:ascii="Times New Roman" w:hAnsi="Times New Roman"/>
              </w:rPr>
            </w:pPr>
            <w:r>
              <w:rPr>
                <w:rFonts w:hint="eastAsia" w:ascii="Times New Roman" w:hAnsi="宋体" w:eastAsia="宋体" w:cs="宋体"/>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Times New Roman" w:hAnsi="Times New Roman"/>
              </w:rPr>
            </w:pPr>
            <w:r>
              <w:rPr>
                <w:rFonts w:hint="eastAsia" w:ascii="Times New Roman" w:hAnsi="宋体" w:eastAsia="宋体" w:cs="宋体"/>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99" w:leftChars="-47" w:right="-78" w:rightChars="-37"/>
              <w:jc w:val="center"/>
              <w:rPr>
                <w:rFonts w:ascii="Times New Roman" w:hAnsi="Times New Roman"/>
              </w:rPr>
            </w:pPr>
            <w:r>
              <w:rPr>
                <w:rFonts w:hint="eastAsia" w:ascii="Times New Roman"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36" w:leftChars="-65" w:right="-124" w:rightChars="-59"/>
              <w:jc w:val="center"/>
              <w:rPr>
                <w:rFonts w:ascii="Times New Roman" w:hAnsi="Times New Roman" w:eastAsia="宋体" w:cs="宋体"/>
                <w:kern w:val="0"/>
                <w:sz w:val="20"/>
                <w:szCs w:val="20"/>
              </w:rPr>
            </w:pPr>
            <w:r>
              <w:rPr>
                <w:rFonts w:hint="eastAsia" w:ascii="Times New Roman" w:hAnsi="宋体" w:eastAsia="宋体" w:cs="宋体"/>
                <w:kern w:val="0"/>
                <w:sz w:val="20"/>
                <w:szCs w:val="20"/>
              </w:rPr>
              <w:t>结果</w:t>
            </w:r>
          </w:p>
          <w:p>
            <w:pPr>
              <w:widowControl/>
              <w:ind w:left="-136" w:leftChars="-65" w:right="-124" w:rightChars="-59"/>
              <w:jc w:val="center"/>
              <w:rPr>
                <w:rFonts w:ascii="Times New Roman" w:hAnsi="Times New Roman"/>
              </w:rPr>
            </w:pPr>
            <w:r>
              <w:rPr>
                <w:rFonts w:hint="eastAsia" w:ascii="Times New Roman" w:hAnsi="宋体" w:eastAsia="宋体" w:cs="宋体"/>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173" w:leftChars="-83" w:right="-134" w:rightChars="-64" w:hanging="1"/>
              <w:jc w:val="center"/>
              <w:rPr>
                <w:rFonts w:ascii="Times New Roman" w:hAnsi="Times New Roman" w:eastAsia="宋体" w:cs="宋体"/>
                <w:kern w:val="0"/>
                <w:sz w:val="20"/>
                <w:szCs w:val="20"/>
              </w:rPr>
            </w:pPr>
            <w:r>
              <w:rPr>
                <w:rFonts w:hint="eastAsia" w:ascii="Times New Roman" w:hAnsi="宋体" w:eastAsia="宋体" w:cs="宋体"/>
                <w:kern w:val="0"/>
                <w:sz w:val="20"/>
                <w:szCs w:val="20"/>
              </w:rPr>
              <w:t>其他</w:t>
            </w:r>
          </w:p>
          <w:p>
            <w:pPr>
              <w:widowControl/>
              <w:ind w:left="-173" w:leftChars="-83" w:right="-134" w:rightChars="-64" w:hanging="1"/>
              <w:jc w:val="center"/>
              <w:rPr>
                <w:rFonts w:ascii="Times New Roman" w:hAnsi="Times New Roman"/>
              </w:rPr>
            </w:pPr>
            <w:r>
              <w:rPr>
                <w:rFonts w:hint="eastAsia" w:ascii="Times New Roman" w:hAnsi="宋体" w:eastAsia="宋体" w:cs="宋体"/>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ind w:left="-67" w:leftChars="-33" w:right="-105" w:rightChars="-50" w:hanging="2" w:hangingChars="1"/>
              <w:jc w:val="center"/>
              <w:rPr>
                <w:rFonts w:ascii="Times New Roman" w:hAnsi="Times New Roman"/>
              </w:rPr>
            </w:pPr>
            <w:r>
              <w:rPr>
                <w:rFonts w:hint="eastAsia" w:ascii="Times New Roman"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jc w:val="center"/>
              <w:rPr>
                <w:rFonts w:ascii="Times New Roman" w:hAnsi="Times New Roman"/>
              </w:rPr>
            </w:pPr>
            <w:r>
              <w:rPr>
                <w:rFonts w:hint="eastAsia" w:ascii="Times New Roman" w:hAnsi="宋体" w:eastAsia="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cs="Calibri"/>
                <w:kern w:val="0"/>
                <w:sz w:val="20"/>
                <w:szCs w:val="20"/>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ascii="Times New Roman" w:hAnsi="Times New Roman" w:cs="Calibri"/>
                <w:kern w:val="0"/>
                <w:sz w:val="20"/>
                <w:szCs w:val="20"/>
              </w:rPr>
              <w:t> </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cs="Calibri"/>
                <w:kern w:val="0"/>
                <w:sz w:val="20"/>
                <w:szCs w:val="20"/>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ascii="Times New Roman" w:hAnsi="Times New Roman" w:cs="Calibri"/>
                <w:kern w:val="0"/>
                <w:sz w:val="20"/>
                <w:szCs w:val="20"/>
              </w:rPr>
              <w:t> </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cs="Calibri"/>
                <w:kern w:val="0"/>
                <w:sz w:val="20"/>
                <w:szCs w:val="20"/>
              </w:rPr>
              <w:t>0</w:t>
            </w:r>
            <w:r>
              <w:rPr>
                <w:rFonts w:ascii="Times New Roman" w:hAnsi="Times New Roman" w:cs="Calibri"/>
                <w:kern w:val="0"/>
                <w:sz w:val="20"/>
                <w:szCs w:val="20"/>
              </w:rPr>
              <w:t> </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eastAsia="宋体" w:cs="宋体"/>
                <w:kern w:val="0"/>
                <w:sz w:val="20"/>
                <w:szCs w:val="20"/>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eastAsia="宋体" w:cs="宋体"/>
                <w:kern w:val="0"/>
                <w:sz w:val="20"/>
                <w:szCs w:val="20"/>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eastAsia="宋体" w:cs="宋体"/>
                <w:kern w:val="0"/>
                <w:sz w:val="20"/>
                <w:szCs w:val="20"/>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eastAsia="宋体" w:cs="宋体"/>
                <w:kern w:val="0"/>
                <w:sz w:val="20"/>
                <w:szCs w:val="20"/>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eastAsia="宋体" w:cs="宋体"/>
                <w:kern w:val="0"/>
                <w:sz w:val="20"/>
                <w:szCs w:val="20"/>
              </w:rPr>
              <w:t>0 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eastAsia="宋体" w:cs="宋体"/>
                <w:kern w:val="0"/>
                <w:sz w:val="20"/>
                <w:szCs w:val="20"/>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eastAsia="宋体" w:cs="宋体"/>
                <w:kern w:val="0"/>
                <w:sz w:val="20"/>
                <w:szCs w:val="20"/>
              </w:rPr>
              <w:t> </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eastAsia="宋体" w:cs="宋体"/>
                <w:kern w:val="0"/>
                <w:sz w:val="20"/>
                <w:szCs w:val="20"/>
              </w:rPr>
              <w:t> </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jc w:val="center"/>
              <w:rPr>
                <w:rFonts w:ascii="Times New Roman" w:hAnsi="Times New Roman"/>
              </w:rPr>
            </w:pPr>
            <w:r>
              <w:rPr>
                <w:rFonts w:hint="eastAsia" w:ascii="Times New Roman" w:hAnsi="Times New Roman" w:eastAsia="宋体" w:cs="宋体"/>
                <w:kern w:val="0"/>
                <w:sz w:val="20"/>
                <w:szCs w:val="20"/>
              </w:rPr>
              <w:t> </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ascii="Times New Roman" w:hAnsi="Times New Roman"/>
                <w:sz w:val="24"/>
              </w:rPr>
            </w:pPr>
            <w:r>
              <w:rPr>
                <w:rFonts w:hint="eastAsia" w:ascii="Times New Roman" w:hAnsi="Times New Roman"/>
                <w:sz w:val="24"/>
              </w:rPr>
              <w:t>0</w:t>
            </w:r>
          </w:p>
        </w:tc>
      </w:tr>
    </w:tbl>
    <w:p>
      <w:pPr>
        <w:widowControl/>
        <w:shd w:val="clear" w:color="auto" w:fill="FFFFFF"/>
        <w:jc w:val="center"/>
        <w:rPr>
          <w:rFonts w:ascii="Times New Roman" w:hAnsi="Times New Roman" w:eastAsia="宋体" w:cs="宋体"/>
          <w:sz w:val="24"/>
        </w:rPr>
      </w:pPr>
    </w:p>
    <w:p>
      <w:pPr>
        <w:pStyle w:val="4"/>
        <w:widowControl/>
        <w:shd w:val="clear" w:color="auto" w:fill="FFFFFF"/>
        <w:spacing w:beforeAutospacing="0" w:afterAutospacing="0"/>
        <w:ind w:firstLine="420"/>
        <w:jc w:val="both"/>
        <w:rPr>
          <w:rFonts w:ascii="Times New Roman" w:hAnsi="Times New Roman" w:eastAsia="黑体" w:cs="宋体"/>
          <w:sz w:val="32"/>
          <w:szCs w:val="32"/>
        </w:rPr>
      </w:pPr>
      <w:r>
        <w:rPr>
          <w:rFonts w:hint="eastAsia" w:ascii="Times New Roman" w:hAnsi="黑体" w:eastAsia="黑体" w:cs="宋体"/>
          <w:sz w:val="32"/>
          <w:szCs w:val="32"/>
          <w:shd w:val="clear" w:color="auto" w:fill="FFFFFF"/>
        </w:rPr>
        <w:t>五、存在的主要问题及改进情况</w:t>
      </w:r>
    </w:p>
    <w:p>
      <w:pPr>
        <w:pStyle w:val="4"/>
        <w:widowControl/>
        <w:shd w:val="clear" w:color="auto" w:fill="FFFFFF"/>
        <w:spacing w:beforeAutospacing="0" w:afterAutospacing="0" w:line="620" w:lineRule="exact"/>
        <w:ind w:firstLine="640"/>
        <w:jc w:val="both"/>
        <w:rPr>
          <w:rFonts w:hint="eastAsia" w:ascii="Times New Roman" w:hAnsi="仿宋_GB2312" w:eastAsia="仿宋_GB2312" w:cs="仿宋_GB2312"/>
          <w:sz w:val="32"/>
          <w:szCs w:val="32"/>
          <w:shd w:val="clear" w:color="auto" w:fill="FFFFFF"/>
        </w:rPr>
      </w:pPr>
      <w:r>
        <w:rPr>
          <w:rFonts w:hint="eastAsia" w:ascii="Times New Roman" w:hAnsi="仿宋_GB2312" w:eastAsia="仿宋_GB2312" w:cs="仿宋_GB2312"/>
          <w:sz w:val="32"/>
          <w:szCs w:val="32"/>
          <w:shd w:val="clear" w:color="auto" w:fill="FFFFFF"/>
        </w:rPr>
        <w:t>20</w:t>
      </w:r>
      <w:r>
        <w:rPr>
          <w:rFonts w:hint="eastAsia" w:ascii="Times New Roman" w:hAnsi="仿宋_GB2312" w:eastAsia="仿宋_GB2312" w:cs="仿宋_GB2312"/>
          <w:sz w:val="32"/>
          <w:szCs w:val="32"/>
          <w:shd w:val="clear" w:color="auto" w:fill="FFFFFF"/>
          <w:lang w:val="en-US" w:eastAsia="zh-CN"/>
        </w:rPr>
        <w:t>21</w:t>
      </w:r>
      <w:r>
        <w:rPr>
          <w:rFonts w:hint="eastAsia" w:ascii="Times New Roman" w:hAnsi="仿宋_GB2312" w:eastAsia="仿宋_GB2312" w:cs="仿宋_GB2312"/>
          <w:sz w:val="32"/>
          <w:szCs w:val="32"/>
          <w:shd w:val="clear" w:color="auto" w:fill="FFFFFF"/>
        </w:rPr>
        <w:t>年，</w:t>
      </w:r>
      <w:r>
        <w:rPr>
          <w:rFonts w:hint="eastAsia" w:ascii="Times New Roman" w:hAnsi="仿宋_GB2312" w:eastAsia="仿宋_GB2312" w:cs="仿宋_GB2312"/>
          <w:sz w:val="32"/>
          <w:szCs w:val="32"/>
          <w:shd w:val="clear" w:color="auto" w:fill="FFFFFF"/>
          <w:lang w:eastAsia="zh-CN"/>
        </w:rPr>
        <w:t>区残联在政务信息公开工作中，集中发力，按时按要求完成了各项工作，但是依然存在一些问题。比如</w:t>
      </w:r>
      <w:r>
        <w:rPr>
          <w:rFonts w:hint="eastAsia" w:ascii="Times New Roman" w:hAnsi="仿宋_GB2312" w:eastAsia="仿宋_GB2312" w:cs="仿宋_GB2312"/>
          <w:sz w:val="32"/>
          <w:szCs w:val="32"/>
          <w:shd w:val="clear" w:color="auto" w:fill="FFFFFF"/>
        </w:rPr>
        <w:t>：</w:t>
      </w:r>
      <w:r>
        <w:rPr>
          <w:rFonts w:hint="eastAsia" w:ascii="Times New Roman" w:hAnsi="仿宋_GB2312" w:eastAsia="仿宋_GB2312" w:cs="仿宋_GB2312"/>
          <w:sz w:val="32"/>
          <w:szCs w:val="32"/>
          <w:shd w:val="clear" w:color="auto" w:fill="FFFFFF"/>
          <w:lang w:eastAsia="zh-CN"/>
        </w:rPr>
        <w:t>政务信息</w:t>
      </w:r>
      <w:r>
        <w:rPr>
          <w:rFonts w:hint="eastAsia" w:ascii="Times New Roman" w:hAnsi="仿宋_GB2312" w:eastAsia="仿宋_GB2312" w:cs="仿宋_GB2312"/>
          <w:sz w:val="32"/>
          <w:szCs w:val="32"/>
          <w:shd w:val="clear" w:color="auto" w:fill="FFFFFF"/>
        </w:rPr>
        <w:t>公开</w:t>
      </w:r>
      <w:r>
        <w:rPr>
          <w:rFonts w:hint="eastAsia" w:ascii="Times New Roman" w:hAnsi="仿宋_GB2312" w:eastAsia="仿宋_GB2312" w:cs="仿宋_GB2312"/>
          <w:sz w:val="32"/>
          <w:szCs w:val="32"/>
          <w:shd w:val="clear" w:color="auto" w:fill="FFFFFF"/>
          <w:lang w:eastAsia="zh-CN"/>
        </w:rPr>
        <w:t>工作长效机制不够完善，政务公开工作不够创新，仍是按照上级安排按部就班开展工作，政务信息公开</w:t>
      </w:r>
      <w:r>
        <w:rPr>
          <w:rFonts w:hint="eastAsia" w:ascii="Times New Roman" w:hAnsi="仿宋_GB2312" w:eastAsia="仿宋_GB2312" w:cs="仿宋_GB2312"/>
          <w:sz w:val="32"/>
          <w:szCs w:val="32"/>
          <w:shd w:val="clear" w:color="auto" w:fill="FFFFFF"/>
        </w:rPr>
        <w:t>意识</w:t>
      </w:r>
      <w:r>
        <w:rPr>
          <w:rFonts w:hint="eastAsia" w:ascii="Times New Roman" w:hAnsi="仿宋_GB2312" w:eastAsia="仿宋_GB2312" w:cs="仿宋_GB2312"/>
          <w:sz w:val="32"/>
          <w:szCs w:val="32"/>
          <w:shd w:val="clear" w:color="auto" w:fill="FFFFFF"/>
          <w:lang w:eastAsia="zh-CN"/>
        </w:rPr>
        <w:t>有待增强</w:t>
      </w:r>
      <w:r>
        <w:rPr>
          <w:rFonts w:hint="eastAsia" w:ascii="Times New Roman" w:hAnsi="仿宋_GB2312" w:eastAsia="仿宋_GB2312" w:cs="仿宋_GB2312"/>
          <w:sz w:val="32"/>
          <w:szCs w:val="32"/>
          <w:shd w:val="clear" w:color="auto" w:fill="FFFFFF"/>
        </w:rPr>
        <w:t>。</w:t>
      </w:r>
      <w:r>
        <w:rPr>
          <w:rFonts w:hint="eastAsia" w:ascii="Times New Roman" w:hAnsi="仿宋_GB2312" w:eastAsia="仿宋_GB2312" w:cs="仿宋_GB2312"/>
          <w:sz w:val="32"/>
          <w:szCs w:val="32"/>
          <w:shd w:val="clear" w:color="auto" w:fill="FFFFFF"/>
          <w:lang w:eastAsia="zh-CN"/>
        </w:rPr>
        <w:t>为</w:t>
      </w:r>
      <w:r>
        <w:rPr>
          <w:rFonts w:hint="eastAsia" w:ascii="Times New Roman" w:hAnsi="仿宋_GB2312" w:eastAsia="仿宋_GB2312" w:cs="仿宋_GB2312"/>
          <w:sz w:val="32"/>
          <w:szCs w:val="32"/>
          <w:shd w:val="clear" w:color="auto" w:fill="FFFFFF"/>
        </w:rPr>
        <w:t>进一步</w:t>
      </w:r>
      <w:r>
        <w:rPr>
          <w:rFonts w:hint="eastAsia" w:ascii="Times New Roman" w:hAnsi="仿宋_GB2312" w:eastAsia="仿宋_GB2312" w:cs="仿宋_GB2312"/>
          <w:sz w:val="32"/>
          <w:szCs w:val="32"/>
          <w:shd w:val="clear" w:color="auto" w:fill="FFFFFF"/>
          <w:lang w:eastAsia="zh-CN"/>
        </w:rPr>
        <w:t>做好</w:t>
      </w:r>
      <w:r>
        <w:rPr>
          <w:rFonts w:hint="eastAsia" w:ascii="Times New Roman" w:hAnsi="仿宋_GB2312" w:eastAsia="仿宋_GB2312" w:cs="仿宋_GB2312"/>
          <w:sz w:val="32"/>
          <w:szCs w:val="32"/>
          <w:shd w:val="clear" w:color="auto" w:fill="FFFFFF"/>
        </w:rPr>
        <w:t>政府信息公开工作，</w:t>
      </w:r>
      <w:r>
        <w:rPr>
          <w:rFonts w:hint="eastAsia" w:ascii="Times New Roman" w:hAnsi="仿宋_GB2312" w:eastAsia="仿宋_GB2312" w:cs="仿宋_GB2312"/>
          <w:sz w:val="32"/>
          <w:szCs w:val="32"/>
          <w:shd w:val="clear" w:color="auto" w:fill="FFFFFF"/>
          <w:lang w:eastAsia="zh-CN"/>
        </w:rPr>
        <w:t>下一步，区残联将创新工作，真抓实干</w:t>
      </w:r>
      <w:r>
        <w:rPr>
          <w:rFonts w:hint="eastAsia" w:ascii="Times New Roman" w:hAnsi="仿宋_GB2312" w:eastAsia="仿宋_GB2312" w:cs="仿宋_GB2312"/>
          <w:sz w:val="32"/>
          <w:szCs w:val="32"/>
          <w:shd w:val="clear" w:color="auto" w:fill="FFFFFF"/>
        </w:rPr>
        <w:t>。</w:t>
      </w:r>
    </w:p>
    <w:p>
      <w:pPr>
        <w:pStyle w:val="4"/>
        <w:widowControl/>
        <w:shd w:val="clear" w:color="auto" w:fill="FFFFFF"/>
        <w:spacing w:beforeAutospacing="0" w:afterAutospacing="0" w:line="620" w:lineRule="exact"/>
        <w:ind w:firstLine="640"/>
        <w:jc w:val="both"/>
        <w:rPr>
          <w:rFonts w:hint="eastAsia" w:ascii="Times New Roman" w:hAnsi="仿宋_GB2312" w:eastAsia="仿宋_GB2312" w:cs="仿宋_GB2312"/>
          <w:sz w:val="32"/>
          <w:szCs w:val="32"/>
          <w:shd w:val="clear" w:color="auto" w:fill="FFFFFF"/>
        </w:rPr>
      </w:pPr>
      <w:r>
        <w:rPr>
          <w:rFonts w:hint="eastAsia" w:ascii="楷体_GB2312" w:hAnsi="楷体_GB2312" w:eastAsia="楷体_GB2312" w:cs="楷体_GB2312"/>
          <w:sz w:val="32"/>
          <w:szCs w:val="32"/>
          <w:shd w:val="clear" w:color="auto" w:fill="FFFFFF"/>
        </w:rPr>
        <w:t>（一）</w:t>
      </w:r>
      <w:r>
        <w:rPr>
          <w:rFonts w:hint="eastAsia" w:ascii="楷体_GB2312" w:hAnsi="楷体_GB2312" w:eastAsia="楷体_GB2312" w:cs="楷体_GB2312"/>
          <w:sz w:val="32"/>
          <w:szCs w:val="32"/>
          <w:shd w:val="clear" w:color="auto" w:fill="FFFFFF"/>
          <w:lang w:eastAsia="zh-CN"/>
        </w:rPr>
        <w:t>强化领导</w:t>
      </w:r>
      <w:r>
        <w:rPr>
          <w:rFonts w:hint="eastAsia" w:ascii="楷体_GB2312" w:hAnsi="楷体_GB2312" w:eastAsia="楷体_GB2312" w:cs="楷体_GB2312"/>
          <w:sz w:val="32"/>
          <w:szCs w:val="32"/>
          <w:shd w:val="clear" w:color="auto" w:fill="FFFFFF"/>
        </w:rPr>
        <w:t>。</w:t>
      </w:r>
      <w:r>
        <w:rPr>
          <w:rFonts w:hint="eastAsia" w:ascii="Times New Roman" w:hAnsi="仿宋_GB2312" w:eastAsia="仿宋_GB2312" w:cs="仿宋_GB2312"/>
          <w:sz w:val="32"/>
          <w:szCs w:val="32"/>
          <w:shd w:val="clear" w:color="auto" w:fill="FFFFFF"/>
          <w:lang w:val="en-US" w:eastAsia="zh-CN"/>
        </w:rPr>
        <w:t>进一步提升对政务信息公开工作的认识，继续将政务信息公开工作纳入从残联年度重点工作，强化领导，确保信息及时、高效、完整公开。</w:t>
      </w:r>
    </w:p>
    <w:p>
      <w:pPr>
        <w:pStyle w:val="4"/>
        <w:widowControl/>
        <w:shd w:val="clear" w:color="auto" w:fill="FFFFFF"/>
        <w:spacing w:beforeAutospacing="0" w:afterAutospacing="0" w:line="620" w:lineRule="exact"/>
        <w:ind w:firstLine="640"/>
        <w:jc w:val="both"/>
        <w:rPr>
          <w:rFonts w:hint="eastAsia" w:ascii="Times New Roman" w:hAnsi="仿宋_GB2312" w:eastAsia="仿宋_GB2312" w:cs="仿宋_GB2312"/>
          <w:sz w:val="32"/>
          <w:szCs w:val="32"/>
          <w:shd w:val="clear" w:color="auto" w:fill="FFFFFF"/>
        </w:rPr>
      </w:pPr>
      <w:r>
        <w:rPr>
          <w:rFonts w:hint="eastAsia" w:ascii="楷体_GB2312" w:hAnsi="楷体_GB2312" w:eastAsia="楷体_GB2312" w:cs="楷体_GB2312"/>
          <w:sz w:val="32"/>
          <w:szCs w:val="32"/>
          <w:shd w:val="clear" w:color="auto" w:fill="FFFFFF"/>
        </w:rPr>
        <w:t>（二）</w:t>
      </w:r>
      <w:r>
        <w:rPr>
          <w:rFonts w:hint="eastAsia" w:ascii="楷体_GB2312" w:hAnsi="楷体_GB2312" w:eastAsia="楷体_GB2312" w:cs="楷体_GB2312"/>
          <w:sz w:val="32"/>
          <w:szCs w:val="32"/>
          <w:shd w:val="clear" w:color="auto" w:fill="FFFFFF"/>
          <w:lang w:eastAsia="zh-CN"/>
        </w:rPr>
        <w:t>立足群众</w:t>
      </w:r>
      <w:r>
        <w:rPr>
          <w:rFonts w:hint="eastAsia" w:ascii="楷体_GB2312" w:hAnsi="楷体_GB2312" w:eastAsia="楷体_GB2312" w:cs="楷体_GB2312"/>
          <w:sz w:val="32"/>
          <w:szCs w:val="32"/>
          <w:shd w:val="clear" w:color="auto" w:fill="FFFFFF"/>
        </w:rPr>
        <w:t>。</w:t>
      </w:r>
      <w:r>
        <w:rPr>
          <w:rFonts w:hint="eastAsia" w:ascii="Times New Roman" w:hAnsi="仿宋_GB2312" w:eastAsia="仿宋_GB2312" w:cs="仿宋_GB2312"/>
          <w:sz w:val="32"/>
          <w:szCs w:val="32"/>
          <w:shd w:val="clear" w:color="auto" w:fill="FFFFFF"/>
          <w:lang w:eastAsia="zh-CN"/>
        </w:rPr>
        <w:t>要不断完善</w:t>
      </w:r>
      <w:r>
        <w:rPr>
          <w:rFonts w:hint="eastAsia" w:ascii="Times New Roman" w:hAnsi="仿宋_GB2312" w:eastAsia="仿宋_GB2312" w:cs="仿宋_GB2312"/>
          <w:sz w:val="32"/>
          <w:szCs w:val="32"/>
          <w:shd w:val="clear" w:color="auto" w:fill="FFFFFF"/>
          <w:lang w:val="en-US" w:eastAsia="zh-CN"/>
        </w:rPr>
        <w:t>政务信息公开的内容、形式，对涉及广大残疾人的重大问题、决策和制度应及时公开，提高公开针对性。</w:t>
      </w:r>
      <w:r>
        <w:rPr>
          <w:rFonts w:hint="eastAsia" w:ascii="Times New Roman" w:hAnsi="仿宋_GB2312" w:eastAsia="仿宋_GB2312" w:cs="仿宋_GB2312"/>
          <w:sz w:val="32"/>
          <w:szCs w:val="32"/>
          <w:shd w:val="clear" w:color="auto" w:fill="FFFFFF"/>
        </w:rPr>
        <w:t>进一步做好公开和不予公开两类信息的界定，完善主动公开的信息目录。</w:t>
      </w:r>
    </w:p>
    <w:p>
      <w:pPr>
        <w:pStyle w:val="4"/>
        <w:widowControl/>
        <w:shd w:val="clear" w:color="auto" w:fill="FFFFFF"/>
        <w:spacing w:beforeAutospacing="0" w:afterAutospacing="0" w:line="620" w:lineRule="exact"/>
        <w:ind w:firstLine="640"/>
        <w:jc w:val="both"/>
        <w:rPr>
          <w:rFonts w:hint="eastAsia" w:ascii="Times New Roman" w:hAnsi="仿宋_GB2312" w:eastAsia="仿宋_GB2312" w:cs="仿宋_GB2312"/>
          <w:sz w:val="32"/>
          <w:szCs w:val="32"/>
          <w:shd w:val="clear" w:color="auto" w:fill="FFFFFF"/>
        </w:rPr>
      </w:pPr>
      <w:r>
        <w:rPr>
          <w:rFonts w:hint="eastAsia" w:ascii="楷体_GB2312" w:hAnsi="楷体_GB2312" w:eastAsia="楷体_GB2312" w:cs="楷体_GB2312"/>
          <w:sz w:val="32"/>
          <w:szCs w:val="32"/>
          <w:shd w:val="clear" w:color="auto" w:fill="FFFFFF"/>
        </w:rPr>
        <w:t>（三）</w:t>
      </w:r>
      <w:r>
        <w:rPr>
          <w:rFonts w:hint="eastAsia" w:ascii="楷体_GB2312" w:hAnsi="楷体_GB2312" w:eastAsia="楷体_GB2312" w:cs="楷体_GB2312"/>
          <w:sz w:val="32"/>
          <w:szCs w:val="32"/>
          <w:shd w:val="clear" w:color="auto" w:fill="FFFFFF"/>
          <w:lang w:eastAsia="zh-CN"/>
        </w:rPr>
        <w:t>完善制度</w:t>
      </w:r>
      <w:r>
        <w:rPr>
          <w:rFonts w:hint="eastAsia" w:ascii="楷体_GB2312" w:hAnsi="楷体_GB2312" w:eastAsia="楷体_GB2312" w:cs="楷体_GB2312"/>
          <w:sz w:val="32"/>
          <w:szCs w:val="32"/>
          <w:shd w:val="clear" w:color="auto" w:fill="FFFFFF"/>
        </w:rPr>
        <w:t>。</w:t>
      </w:r>
      <w:r>
        <w:rPr>
          <w:rFonts w:hint="eastAsia" w:ascii="Times New Roman" w:hAnsi="仿宋_GB2312" w:eastAsia="仿宋_GB2312" w:cs="仿宋_GB2312"/>
          <w:sz w:val="32"/>
          <w:szCs w:val="32"/>
          <w:shd w:val="clear" w:color="auto" w:fill="FFFFFF"/>
          <w:lang w:eastAsia="zh-CN"/>
        </w:rPr>
        <w:t>进一步</w:t>
      </w:r>
      <w:r>
        <w:rPr>
          <w:rFonts w:hint="eastAsia" w:ascii="Times New Roman" w:hAnsi="仿宋_GB2312" w:eastAsia="仿宋_GB2312" w:cs="仿宋_GB2312"/>
          <w:sz w:val="32"/>
          <w:szCs w:val="32"/>
          <w:shd w:val="clear" w:color="auto" w:fill="FFFFFF"/>
        </w:rPr>
        <w:t>完善政府信息公开制度，严格按照</w:t>
      </w:r>
      <w:r>
        <w:rPr>
          <w:rFonts w:hint="eastAsia" w:ascii="Times New Roman" w:hAnsi="仿宋_GB2312" w:eastAsia="仿宋_GB2312" w:cs="仿宋_GB2312"/>
          <w:sz w:val="32"/>
          <w:szCs w:val="32"/>
          <w:shd w:val="clear" w:color="auto" w:fill="FFFFFF"/>
          <w:lang w:eastAsia="zh-CN"/>
        </w:rPr>
        <w:t>张店区</w:t>
      </w:r>
      <w:r>
        <w:rPr>
          <w:rFonts w:hint="eastAsia" w:ascii="Times New Roman" w:hAnsi="仿宋_GB2312" w:eastAsia="仿宋_GB2312" w:cs="仿宋_GB2312"/>
          <w:sz w:val="32"/>
          <w:szCs w:val="32"/>
          <w:shd w:val="clear" w:color="auto" w:fill="FFFFFF"/>
        </w:rPr>
        <w:t>政府信息公开基本目录和年度政务公开工作要点要求，严格考核问责，加强社会监督，</w:t>
      </w:r>
      <w:r>
        <w:rPr>
          <w:rFonts w:hint="eastAsia" w:ascii="Times New Roman" w:hAnsi="仿宋_GB2312" w:eastAsia="仿宋_GB2312" w:cs="仿宋_GB2312"/>
          <w:sz w:val="32"/>
          <w:szCs w:val="32"/>
          <w:shd w:val="clear" w:color="auto" w:fill="FFFFFF"/>
          <w:lang w:eastAsia="zh-CN"/>
        </w:rPr>
        <w:t>不断</w:t>
      </w:r>
      <w:r>
        <w:rPr>
          <w:rFonts w:hint="eastAsia" w:ascii="Times New Roman" w:hAnsi="仿宋_GB2312" w:eastAsia="仿宋_GB2312" w:cs="仿宋_GB2312"/>
          <w:sz w:val="32"/>
          <w:szCs w:val="32"/>
          <w:shd w:val="clear" w:color="auto" w:fill="FFFFFF"/>
        </w:rPr>
        <w:t>加强政务公开目录、内容规范化建设</w:t>
      </w:r>
      <w:r>
        <w:rPr>
          <w:rFonts w:hint="eastAsia" w:ascii="Times New Roman" w:hAnsi="仿宋_GB2312" w:eastAsia="仿宋_GB2312" w:cs="仿宋_GB2312"/>
          <w:sz w:val="32"/>
          <w:szCs w:val="32"/>
          <w:shd w:val="clear" w:color="auto" w:fill="FFFFFF"/>
          <w:lang w:eastAsia="zh-CN"/>
        </w:rPr>
        <w:t>。积极</w:t>
      </w:r>
      <w:r>
        <w:rPr>
          <w:rFonts w:hint="eastAsia" w:ascii="Times New Roman" w:hAnsi="仿宋_GB2312" w:eastAsia="仿宋_GB2312" w:cs="仿宋_GB2312"/>
          <w:sz w:val="32"/>
          <w:szCs w:val="32"/>
          <w:shd w:val="clear" w:color="auto" w:fill="FFFFFF"/>
        </w:rPr>
        <w:t>处理来自广大群众对区残联政务公开工作的意见和建议。健全完善信息公开保密、审查制度，确保区残联信息公开工作科学化、程序化、标准化。</w:t>
      </w:r>
    </w:p>
    <w:p>
      <w:pPr>
        <w:pStyle w:val="4"/>
        <w:widowControl/>
        <w:shd w:val="clear" w:color="auto" w:fill="FFFFFF"/>
        <w:spacing w:beforeAutospacing="0" w:afterAutospacing="0"/>
        <w:ind w:firstLine="420"/>
        <w:jc w:val="both"/>
        <w:rPr>
          <w:rFonts w:ascii="Times New Roman" w:hAnsi="Times New Roman" w:eastAsia="黑体" w:cs="宋体"/>
          <w:sz w:val="32"/>
          <w:szCs w:val="32"/>
        </w:rPr>
      </w:pPr>
      <w:r>
        <w:rPr>
          <w:rFonts w:hint="eastAsia" w:ascii="Times New Roman" w:hAnsi="黑体" w:eastAsia="黑体" w:cs="宋体"/>
          <w:sz w:val="32"/>
          <w:szCs w:val="32"/>
          <w:shd w:val="clear" w:color="auto" w:fill="FFFFFF"/>
        </w:rPr>
        <w:t>六、其他需要报告的事项</w:t>
      </w:r>
    </w:p>
    <w:p>
      <w:pPr>
        <w:pStyle w:val="4"/>
        <w:widowControl/>
        <w:shd w:val="clear" w:color="auto" w:fill="FFFFFF"/>
        <w:spacing w:beforeAutospacing="0" w:afterAutospacing="0" w:line="620" w:lineRule="exact"/>
        <w:ind w:firstLine="640"/>
        <w:jc w:val="both"/>
        <w:rPr>
          <w:rFonts w:ascii="Times New Roman" w:hAnsi="Times New Roman" w:eastAsia="仿宋_GB2312" w:cs="仿宋_GB2312"/>
          <w:sz w:val="32"/>
          <w:szCs w:val="32"/>
        </w:rPr>
      </w:pPr>
      <w:r>
        <w:rPr>
          <w:rFonts w:hint="eastAsia" w:ascii="Times New Roman" w:hAnsi="仿宋_GB2312" w:eastAsia="仿宋_GB2312" w:cs="仿宋_GB2312"/>
          <w:sz w:val="32"/>
          <w:szCs w:val="32"/>
          <w:shd w:val="clear" w:color="auto" w:fill="FFFFFF"/>
        </w:rPr>
        <w:t>没有需要报告的其他事项。</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1D2E06"/>
    <w:multiLevelType w:val="singleLevel"/>
    <w:tmpl w:val="FE1D2E06"/>
    <w:lvl w:ilvl="0" w:tentative="0">
      <w:start w:val="5"/>
      <w:numFmt w:val="chineseCounting"/>
      <w:suff w:val="nothing"/>
      <w:lvlText w:val="（%1）"/>
      <w:lvlJc w:val="left"/>
      <w:rPr>
        <w:rFonts w:hint="eastAsia"/>
      </w:rPr>
    </w:lvl>
  </w:abstractNum>
  <w:abstractNum w:abstractNumId="1">
    <w:nsid w:val="7A182567"/>
    <w:multiLevelType w:val="singleLevel"/>
    <w:tmpl w:val="7A182567"/>
    <w:lvl w:ilvl="0" w:tentative="0">
      <w:start w:val="6"/>
      <w:numFmt w:val="chineseCounting"/>
      <w:suff w:val="nothing"/>
      <w:lvlText w:val="（%1）"/>
      <w:lvlJc w:val="left"/>
      <w:rPr>
        <w:rFonts w:hint="eastAsia"/>
      </w:rPr>
    </w:lvl>
  </w:abstractNum>
  <w:abstractNum w:abstractNumId="2">
    <w:nsid w:val="7D3F2D80"/>
    <w:multiLevelType w:val="singleLevel"/>
    <w:tmpl w:val="7D3F2D80"/>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B40B86"/>
    <w:rsid w:val="73980F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index 9"/>
    <w:basedOn w:val="1"/>
    <w:next w:val="1"/>
    <w:unhideWhenUsed/>
    <w:qFormat/>
    <w:uiPriority w:val="0"/>
    <w:pPr>
      <w:spacing w:beforeLines="0" w:afterLines="0"/>
      <w:ind w:left="3360"/>
      <w:jc w:val="left"/>
    </w:pPr>
    <w:rPr>
      <w:rFonts w:hint="default" w:ascii="Times New Roman" w:hAnsi="Times New Roman"/>
      <w:sz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2021年主动公开19条（次）</c:v>
                </c:pt>
              </c:strCache>
            </c:strRef>
          </c:tx>
          <c:spPr/>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explosion val="1"/>
            <c:spPr>
              <a:solidFill>
                <a:schemeClr val="accent6"/>
              </a:solidFill>
              <a:ln w="19050">
                <a:solidFill>
                  <a:schemeClr val="lt1"/>
                </a:solidFill>
              </a:ln>
              <a:effectLst/>
            </c:spPr>
          </c:dPt>
          <c:dPt>
            <c:idx val="6"/>
            <c:bubble3D val="0"/>
            <c:spPr>
              <a:solidFill>
                <a:schemeClr val="accent1">
                  <a:lumMod val="60000"/>
                </a:schemeClr>
              </a:solidFill>
              <a:ln w="19050">
                <a:solidFill>
                  <a:schemeClr val="lt1"/>
                </a:solidFill>
              </a:ln>
              <a:effectLst/>
            </c:spPr>
          </c:dPt>
          <c:dLbls>
            <c:dLbl>
              <c:idx val="6"/>
              <c:layout>
                <c:manualLayout>
                  <c:x val="-0.0155549879478596"/>
                  <c:y val="0.026894579929572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履职依据</c:v>
                </c:pt>
                <c:pt idx="1">
                  <c:v>会议公开</c:v>
                </c:pt>
                <c:pt idx="2">
                  <c:v>建议提案</c:v>
                </c:pt>
                <c:pt idx="3">
                  <c:v>财政信息</c:v>
                </c:pt>
                <c:pt idx="4">
                  <c:v>重点领域信息公开</c:v>
                </c:pt>
                <c:pt idx="5">
                  <c:v>政策解读</c:v>
                </c:pt>
                <c:pt idx="6">
                  <c:v>业务动态</c:v>
                </c:pt>
              </c:strCache>
            </c:strRef>
          </c:cat>
          <c:val>
            <c:numRef>
              <c:f>Sheet1!$B$2:$B$8</c:f>
              <c:numCache>
                <c:formatCode>General</c:formatCode>
                <c:ptCount val="7"/>
                <c:pt idx="0">
                  <c:v>1</c:v>
                </c:pt>
                <c:pt idx="1">
                  <c:v>3</c:v>
                </c:pt>
                <c:pt idx="2">
                  <c:v>1</c:v>
                </c:pt>
                <c:pt idx="3">
                  <c:v>3</c:v>
                </c:pt>
                <c:pt idx="4">
                  <c:v>4</c:v>
                </c:pt>
                <c:pt idx="5">
                  <c:v>1</c:v>
                </c:pt>
                <c:pt idx="6">
                  <c:v>6</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2021-12-30T07:20:00Z</dcterms:created>
  <dc:creator>Administrator</dc:creator>
  <cp:lastModifiedBy>浅唱</cp:lastModifiedBy>
  <dcterms:modified xsi:type="dcterms:W3CDTF">2022-03-10T03:25:28Z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2052-11.1.0.10950</vt:lpwstr>
  </property>
  <property fmtid="{D5CDD505-2E9C-101B-9397-08002B2CF9AE}" pid="3" name="ICV">
    <vt:lpwstr>8FA9F284B4DE49C7A09B05E10F7A2EAB</vt:lpwstr>
  </property>
</Properties>
</file>