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480"/>
        <w:jc w:val="center"/>
        <w:rPr>
          <w:rFonts w:hint="eastAsia"/>
          <w:sz w:val="27"/>
          <w:szCs w:val="27"/>
        </w:rPr>
      </w:pPr>
      <w:r>
        <w:rPr>
          <w:rStyle w:val="7"/>
          <w:rFonts w:hint="eastAsia"/>
          <w:sz w:val="27"/>
          <w:szCs w:val="27"/>
        </w:rPr>
        <w:t>张店区产业转移办公室2020年政府信息公开工作年度报告</w:t>
      </w:r>
    </w:p>
    <w:p>
      <w:pPr>
        <w:pStyle w:val="4"/>
        <w:ind w:firstLine="480"/>
        <w:rPr>
          <w:rFonts w:hint="eastAsia"/>
          <w:sz w:val="27"/>
          <w:szCs w:val="27"/>
        </w:rPr>
      </w:pPr>
      <w:r>
        <w:rPr>
          <w:rFonts w:hint="eastAsia"/>
          <w:sz w:val="27"/>
          <w:szCs w:val="27"/>
        </w:rPr>
        <w:t>根据《中华人民共和国政府信息公开条例》第四十九条的规定和《关于政府信息公开工作年度报告有关事项的通知》（国办公开办函〔2019〕60号）和上级文件要求，特向社会公布张店区产业转移办公室2020年信息公开年度报告。本报告由总体情况，主动公开政府信息情况，收到和处理政府信息公开申请情况，政府信息公开行政复议、行政诉讼情况，存在的主要问题及改进情况，其他需要报告的事项等六个部分组成。本报告中所列数据的统计期限自2020年1月1日起至2020年12月31日止。</w:t>
      </w:r>
    </w:p>
    <w:p>
      <w:pPr>
        <w:pStyle w:val="4"/>
        <w:ind w:firstLine="480"/>
      </w:pPr>
      <w:bookmarkStart w:id="0" w:name="_GoBack"/>
      <w:bookmarkEnd w:id="0"/>
      <w:r>
        <w:rPr>
          <w:rFonts w:hint="eastAsia"/>
          <w:sz w:val="27"/>
          <w:szCs w:val="27"/>
        </w:rPr>
        <w:t>一、总体情况</w:t>
      </w:r>
    </w:p>
    <w:p>
      <w:pPr>
        <w:pStyle w:val="4"/>
        <w:ind w:firstLine="480"/>
      </w:pPr>
      <w:r>
        <w:rPr>
          <w:rFonts w:hint="eastAsia"/>
          <w:sz w:val="27"/>
          <w:szCs w:val="27"/>
        </w:rPr>
        <w:t>2020年我办政务公开工作坚持以习近平新时代中国特色社会主义思想为指导，全面贯彻党的十九大精神，严格按照中央、省、市、区政府有关政府信息公开工作具体要求，围绕我区产业转移重点工作、东部化工区污水处理厂重点工作和公众关注关切，把深入做好政府信息公开工作作为推进服务型机关建设年的主要抓手，通过不断健全工作机制，完善规章制度，加强培训指导，以公开促进产业转移工作的规范，以公开促进服务水平的提高，以公开增强人民群众对产业转移工作的了解，使这项工作取得明显进步，切实提升政府信息公开工作实效性、便民性。</w:t>
      </w:r>
    </w:p>
    <w:p>
      <w:pPr>
        <w:pStyle w:val="4"/>
        <w:ind w:firstLine="480"/>
      </w:pPr>
      <w:r>
        <w:rPr>
          <w:rFonts w:hint="eastAsia"/>
          <w:sz w:val="27"/>
          <w:szCs w:val="27"/>
        </w:rPr>
        <w:t>（一）加强组织领导，细化工作责任。2020年，我办将政府信息公开工作与主题党日结合起来，认真贯彻落实信息公开各项规章制度，结合实施政府信息公开工作的实际情况，不断完善工作规范和机制，形成了一把手经常过问、分管负责人定期督导、政务信息公开工作人员具体负责、各科局合力推进的良好工作局面。</w:t>
      </w:r>
    </w:p>
    <w:p>
      <w:pPr>
        <w:pStyle w:val="4"/>
        <w:ind w:firstLine="480"/>
      </w:pPr>
      <w:r>
        <w:rPr>
          <w:rFonts w:hint="eastAsia"/>
          <w:sz w:val="27"/>
          <w:szCs w:val="27"/>
        </w:rPr>
        <w:t>（二）健全工作机制，明确公开职责。为进一步加强政府信息公开工作标准化和规范化建设，不断完善内部信息审核与报送制度，认真落实政府信息公开目标考核制度、审核制度、申请公开制度和责任追究制度，严格落实保密审查制度，确保信息公开工作稳定持续开展。制定《张店区产业转移办公室2019年度政务公开工作方案》，进一步明确各科局信息公开工作中的职责和义务。</w:t>
      </w:r>
    </w:p>
    <w:p>
      <w:pPr>
        <w:pStyle w:val="4"/>
        <w:ind w:firstLine="480"/>
        <w:rPr>
          <w:rFonts w:hint="eastAsia"/>
          <w:sz w:val="27"/>
          <w:szCs w:val="27"/>
        </w:rPr>
      </w:pPr>
      <w:r>
        <w:rPr>
          <w:rFonts w:hint="eastAsia"/>
          <w:sz w:val="27"/>
          <w:szCs w:val="27"/>
        </w:rPr>
        <w:t>（三）加大公开力度，提升服务水平。2020年，我办公开了《领导信息》、《机构职责》，用制度管人管事，做到了机关事务有章可循，以达到规范机关行为，硬化工作作风，提高行政效能的作用；省、市、区重要产业转移政策和政府规范性文件、涉及企业利益和专业性较强的文件和政府采购相关法律、法规等允许公开的规章制度及时在专题上予以公开。我办将政务平台建设工作作为服务型机关建设的重要举措，健全工作机制，完善工作制度，扎实推进政务信息公开工作，在全区的产业转移工作中发挥了积极有效的作用。2020年，主动公开政府信息47条。今年以来，未办理政协委员提案，未办理区人大代表建议。</w:t>
      </w:r>
    </w:p>
    <w:p>
      <w:pPr>
        <w:pStyle w:val="4"/>
        <w:ind w:firstLine="480"/>
        <w:rPr>
          <w:rFonts w:hint="eastAsia"/>
          <w:sz w:val="27"/>
          <w:szCs w:val="27"/>
        </w:rPr>
      </w:pPr>
      <w:r>
        <w:rPr>
          <w:rFonts w:hint="eastAsia"/>
          <w:sz w:val="27"/>
          <w:szCs w:val="27"/>
        </w:rPr>
        <w:t xml:space="preserve">二、主动公开政府信息情况 </w:t>
      </w:r>
    </w:p>
    <w:tbl>
      <w:tblPr>
        <w:tblStyle w:val="5"/>
        <w:tblpPr w:leftFromText="180" w:rightFromText="180" w:vertAnchor="text" w:horzAnchor="margin" w:tblpXSpec="center" w:tblpY="934"/>
        <w:tblW w:w="12012" w:type="dxa"/>
        <w:tblInd w:w="0" w:type="dxa"/>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Layout w:type="autofit"/>
        <w:tblCellMar>
          <w:top w:w="0" w:type="dxa"/>
          <w:left w:w="0" w:type="dxa"/>
          <w:bottom w:w="0" w:type="dxa"/>
          <w:right w:w="0" w:type="dxa"/>
        </w:tblCellMar>
      </w:tblPr>
      <w:tblGrid>
        <w:gridCol w:w="3224"/>
        <w:gridCol w:w="1644"/>
        <w:gridCol w:w="80"/>
        <w:gridCol w:w="2812"/>
        <w:gridCol w:w="2551"/>
        <w:gridCol w:w="445"/>
        <w:gridCol w:w="1256"/>
      </w:tblGrid>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600" w:hRule="atLeast"/>
        </w:trPr>
        <w:tc>
          <w:tcPr>
            <w:tcW w:w="12012" w:type="dxa"/>
            <w:gridSpan w:val="7"/>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第二十条第（一）项</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870"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信息内容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本年新制作数量</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本年新</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公开数量</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对外公开总数量</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0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规章</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 0</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0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规范性文件</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 0</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12012" w:type="dxa"/>
            <w:gridSpan w:val="7"/>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第二十条第（五）项</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510"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信息内容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上一年项目数量</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本年增/减</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处理决定数量</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50"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行政许可</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55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其他对外管理服务事项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95" w:hRule="atLeast"/>
        </w:trPr>
        <w:tc>
          <w:tcPr>
            <w:tcW w:w="12012" w:type="dxa"/>
            <w:gridSpan w:val="7"/>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第二十条第（六）项</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540"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信息内容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上一年项目数量</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本年增/减</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处理决定数量</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3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行政处罚</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0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行政强制</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2551"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1701" w:type="dxa"/>
            <w:gridSpan w:val="2"/>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0</w:t>
            </w:r>
            <w:r>
              <w:rPr>
                <w:rFonts w:hint="eastAsia" w:ascii="微软雅黑" w:hAnsi="微软雅黑" w:eastAsia="微软雅黑" w:cs="宋体"/>
                <w:color w:val="000000"/>
                <w:kern w:val="0"/>
                <w:sz w:val="23"/>
                <w:szCs w:val="23"/>
              </w:rPr>
              <w:t>　</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12012" w:type="dxa"/>
            <w:gridSpan w:val="7"/>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第二十条第（八）项</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50"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信息内容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上一年项目数量</w:t>
            </w:r>
          </w:p>
        </w:tc>
        <w:tc>
          <w:tcPr>
            <w:tcW w:w="4252"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本年增/减</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3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行政事业性收费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4252"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 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12012" w:type="dxa"/>
            <w:gridSpan w:val="7"/>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第二十条第（九）项</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20"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信息内容</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采购项目数量</w:t>
            </w:r>
          </w:p>
        </w:tc>
        <w:tc>
          <w:tcPr>
            <w:tcW w:w="4252"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采购总金额</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65" w:hRule="atLeast"/>
        </w:trPr>
        <w:tc>
          <w:tcPr>
            <w:tcW w:w="3224" w:type="dxa"/>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政府集中采购</w:t>
            </w:r>
          </w:p>
        </w:tc>
        <w:tc>
          <w:tcPr>
            <w:tcW w:w="4536"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0</w:t>
            </w:r>
          </w:p>
        </w:tc>
        <w:tc>
          <w:tcPr>
            <w:tcW w:w="4252" w:type="dxa"/>
            <w:gridSpan w:val="3"/>
            <w:tcBorders>
              <w:top w:val="single" w:color="CCCCCC" w:sz="6" w:space="0"/>
              <w:left w:val="single" w:color="CCCCCC" w:sz="6" w:space="0"/>
              <w:bottom w:val="single" w:color="CCCCCC" w:sz="6" w:space="0"/>
              <w:right w:val="single" w:color="CCCCCC" w:sz="6" w:space="0"/>
            </w:tcBorders>
            <w:shd w:val="clear" w:color="auto" w:fill="FFFFFF"/>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4"/>
                <w:szCs w:val="24"/>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c>
          <w:tcPr>
            <w:tcW w:w="4868" w:type="dxa"/>
            <w:gridSpan w:val="2"/>
            <w:tcBorders>
              <w:top w:val="nil"/>
              <w:left w:val="nil"/>
              <w:bottom w:val="nil"/>
              <w:right w:val="nil"/>
            </w:tcBorders>
            <w:vAlign w:val="center"/>
          </w:tcPr>
          <w:p>
            <w:pPr>
              <w:widowControl/>
              <w:jc w:val="left"/>
              <w:rPr>
                <w:rFonts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tc>
        <w:tc>
          <w:tcPr>
            <w:tcW w:w="80" w:type="dxa"/>
            <w:tcBorders>
              <w:top w:val="nil"/>
              <w:left w:val="nil"/>
              <w:bottom w:val="nil"/>
              <w:right w:val="nil"/>
            </w:tcBorders>
            <w:vAlign w:val="center"/>
          </w:tcPr>
          <w:p>
            <w:pPr>
              <w:widowControl/>
              <w:jc w:val="left"/>
              <w:rPr>
                <w:rFonts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tc>
        <w:tc>
          <w:tcPr>
            <w:tcW w:w="2812" w:type="dxa"/>
            <w:tcBorders>
              <w:top w:val="nil"/>
              <w:left w:val="nil"/>
              <w:bottom w:val="nil"/>
              <w:right w:val="nil"/>
            </w:tcBorders>
            <w:vAlign w:val="center"/>
          </w:tcPr>
          <w:p>
            <w:pPr>
              <w:widowControl/>
              <w:jc w:val="left"/>
              <w:rPr>
                <w:rFonts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tc>
        <w:tc>
          <w:tcPr>
            <w:tcW w:w="2996" w:type="dxa"/>
            <w:gridSpan w:val="2"/>
            <w:tcBorders>
              <w:top w:val="nil"/>
              <w:left w:val="nil"/>
              <w:bottom w:val="nil"/>
              <w:right w:val="nil"/>
            </w:tcBorders>
            <w:vAlign w:val="center"/>
          </w:tcPr>
          <w:p>
            <w:pPr>
              <w:widowControl/>
              <w:jc w:val="left"/>
              <w:rPr>
                <w:rFonts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tc>
        <w:tc>
          <w:tcPr>
            <w:tcW w:w="1256" w:type="dxa"/>
            <w:tcBorders>
              <w:top w:val="nil"/>
              <w:left w:val="nil"/>
              <w:bottom w:val="nil"/>
              <w:right w:val="nil"/>
            </w:tcBorders>
            <w:vAlign w:val="center"/>
          </w:tcPr>
          <w:p>
            <w:pPr>
              <w:widowControl/>
              <w:jc w:val="left"/>
              <w:rPr>
                <w:rFonts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tc>
      </w:tr>
    </w:tbl>
    <w:p>
      <w:pPr>
        <w:pStyle w:val="4"/>
        <w:ind w:firstLine="480"/>
        <w:jc w:val="center"/>
        <w:rPr>
          <w:rStyle w:val="7"/>
          <w:rFonts w:hint="eastAsia"/>
          <w:sz w:val="27"/>
          <w:szCs w:val="27"/>
        </w:rPr>
      </w:pPr>
    </w:p>
    <w:p>
      <w:pPr>
        <w:pStyle w:val="4"/>
        <w:ind w:firstLine="480"/>
        <w:jc w:val="center"/>
      </w:pPr>
      <w:r>
        <w:t> </w:t>
      </w:r>
    </w:p>
    <w:p>
      <w:pPr>
        <w:widowControl/>
        <w:jc w:val="left"/>
        <w:rPr>
          <w:rFonts w:hint="eastAsia" w:ascii="微软雅黑" w:hAnsi="微软雅黑" w:eastAsia="微软雅黑" w:cs="宋体"/>
          <w:color w:val="000000"/>
          <w:kern w:val="0"/>
          <w:sz w:val="24"/>
          <w:szCs w:val="24"/>
        </w:rPr>
      </w:pPr>
    </w:p>
    <w:p>
      <w:pPr>
        <w:widowControl/>
        <w:jc w:val="left"/>
        <w:rPr>
          <w:rFonts w:hint="eastAsia" w:ascii="微软雅黑" w:hAnsi="微软雅黑" w:eastAsia="微软雅黑" w:cs="宋体"/>
          <w:color w:val="000000"/>
          <w:kern w:val="0"/>
          <w:sz w:val="24"/>
          <w:szCs w:val="24"/>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宋体" w:hAnsi="宋体" w:eastAsia="宋体" w:cs="宋体"/>
          <w:color w:val="000000"/>
          <w:kern w:val="0"/>
          <w:sz w:val="27"/>
          <w:szCs w:val="27"/>
        </w:rPr>
      </w:pPr>
    </w:p>
    <w:p>
      <w:pPr>
        <w:widowControl/>
        <w:jc w:val="left"/>
        <w:rPr>
          <w:rFonts w:hint="eastAsia" w:ascii="微软雅黑" w:hAnsi="微软雅黑" w:eastAsia="微软雅黑" w:cs="宋体"/>
          <w:color w:val="000000"/>
          <w:kern w:val="0"/>
          <w:sz w:val="24"/>
          <w:szCs w:val="24"/>
        </w:rPr>
      </w:pPr>
      <w:r>
        <w:rPr>
          <w:rFonts w:hint="eastAsia" w:ascii="宋体" w:hAnsi="宋体" w:eastAsia="宋体" w:cs="宋体"/>
          <w:color w:val="000000"/>
          <w:kern w:val="0"/>
          <w:sz w:val="27"/>
          <w:szCs w:val="27"/>
        </w:rPr>
        <w:t>三、收到和处理政府信息公开申请情况</w:t>
      </w:r>
    </w:p>
    <w:p>
      <w:pPr>
        <w:widowControl/>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p>
    <w:tbl>
      <w:tblPr>
        <w:tblStyle w:val="5"/>
        <w:tblW w:w="14016" w:type="dxa"/>
        <w:tblInd w:w="0" w:type="dxa"/>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Layout w:type="fixed"/>
        <w:tblCellMar>
          <w:top w:w="0" w:type="dxa"/>
          <w:left w:w="0" w:type="dxa"/>
          <w:bottom w:w="0" w:type="dxa"/>
          <w:right w:w="0" w:type="dxa"/>
        </w:tblCellMar>
      </w:tblPr>
      <w:tblGrid>
        <w:gridCol w:w="1047"/>
        <w:gridCol w:w="2094"/>
        <w:gridCol w:w="3485"/>
        <w:gridCol w:w="1134"/>
        <w:gridCol w:w="1417"/>
        <w:gridCol w:w="1134"/>
        <w:gridCol w:w="993"/>
        <w:gridCol w:w="850"/>
        <w:gridCol w:w="992"/>
        <w:gridCol w:w="819"/>
        <w:gridCol w:w="32"/>
        <w:gridCol w:w="19"/>
      </w:tblGrid>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2"/>
          <w:wAfter w:w="51" w:type="dxa"/>
          <w:trHeight w:val="420" w:hRule="atLeast"/>
        </w:trPr>
        <w:tc>
          <w:tcPr>
            <w:tcW w:w="6626" w:type="dxa"/>
            <w:gridSpan w:val="3"/>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hint="eastAsia" w:ascii="微软雅黑" w:hAnsi="微软雅黑" w:eastAsia="微软雅黑" w:cs="宋体"/>
                <w:color w:val="000000"/>
                <w:kern w:val="0"/>
                <w:sz w:val="24"/>
                <w:szCs w:val="24"/>
              </w:rPr>
            </w:pPr>
            <w:r>
              <w:rPr>
                <w:rFonts w:hint="eastAsia" w:ascii="宋体" w:hAnsi="宋体" w:eastAsia="宋体" w:cs="宋体"/>
                <w:color w:val="000000"/>
                <w:kern w:val="0"/>
                <w:sz w:val="23"/>
                <w:szCs w:val="23"/>
              </w:rPr>
              <w:t>（本列数据的勾稽关系为：第一项加第二项之和，</w:t>
            </w:r>
          </w:p>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等于第三项加第四项之和）</w:t>
            </w:r>
          </w:p>
        </w:tc>
        <w:tc>
          <w:tcPr>
            <w:tcW w:w="7339" w:type="dxa"/>
            <w:gridSpan w:val="7"/>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15" w:lineRule="atLeast"/>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申请人情况</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2"/>
          <w:wAfter w:w="51" w:type="dxa"/>
          <w:trHeight w:val="420" w:hRule="atLeast"/>
        </w:trPr>
        <w:tc>
          <w:tcPr>
            <w:tcW w:w="6626" w:type="dxa"/>
            <w:gridSpan w:val="3"/>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1134"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自然人</w:t>
            </w:r>
          </w:p>
        </w:tc>
        <w:tc>
          <w:tcPr>
            <w:tcW w:w="5386" w:type="dxa"/>
            <w:gridSpan w:val="5"/>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15" w:lineRule="atLeast"/>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法人或其他组织</w:t>
            </w:r>
          </w:p>
        </w:tc>
        <w:tc>
          <w:tcPr>
            <w:tcW w:w="819"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115" w:firstLineChars="50"/>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总计</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1125" w:hRule="atLeast"/>
        </w:trPr>
        <w:tc>
          <w:tcPr>
            <w:tcW w:w="6626" w:type="dxa"/>
            <w:gridSpan w:val="3"/>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113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15" w:lineRule="atLeas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商业企业</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15" w:lineRule="atLeas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科研机构</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15" w:lineRule="atLeas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社会公益组织</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15" w:lineRule="atLeas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法律服务机构</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60" w:lineRule="atLeast"/>
              <w:ind w:firstLine="230" w:firstLineChars="100"/>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其他</w:t>
            </w:r>
          </w:p>
        </w:tc>
        <w:tc>
          <w:tcPr>
            <w:tcW w:w="870" w:type="dxa"/>
            <w:gridSpan w:val="3"/>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Pr>
        <w:tc>
          <w:tcPr>
            <w:tcW w:w="6626" w:type="dxa"/>
            <w:gridSpan w:val="3"/>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一、本年新收政府信息公开申请数量</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Pr>
        <w:tc>
          <w:tcPr>
            <w:tcW w:w="6626" w:type="dxa"/>
            <w:gridSpan w:val="3"/>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二、上年结转政府信息公开申请数量</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Pr>
        <w:tc>
          <w:tcPr>
            <w:tcW w:w="1047"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hint="eastAsia" w:ascii="宋体" w:hAnsi="宋体" w:eastAsia="宋体" w:cs="宋体"/>
                <w:color w:val="000000"/>
                <w:kern w:val="0"/>
                <w:sz w:val="23"/>
                <w:szCs w:val="23"/>
              </w:rPr>
            </w:pPr>
          </w:p>
          <w:p>
            <w:pPr>
              <w:widowControl/>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三、本年度办理结果</w:t>
            </w:r>
          </w:p>
        </w:tc>
        <w:tc>
          <w:tcPr>
            <w:tcW w:w="5579"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（一）予以公开</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5579"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（二）部分公开（区分处理的，只计这一情形，不计其他情形）</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（三）不予公开</w:t>
            </w: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1.属于国家秘密</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2.其他法律行政法规禁止公开</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3.危及“三安全一稳定”</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4.保护第三方合法权益</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5.属于三类内部事务信息</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6.属于四类过程性信息</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7.属于行政执法案卷</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8.属于行政查询事项</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（四）无法提供</w:t>
            </w: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1.本机关不掌握相关政府信息</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2.没有现成信息需要另行制作</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3.补正后申请内容仍不明确</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（五）不予处理</w:t>
            </w: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1.信访举报投诉类申请</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2.重复申请</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45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3.要求提供公开出版物</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39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4.无正当理由大量反复申请</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2094"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348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spacing w:line="300" w:lineRule="atLeast"/>
              <w:ind w:firstLine="480"/>
              <w:jc w:val="left"/>
              <w:rPr>
                <w:rFonts w:hint="eastAsia" w:ascii="微软雅黑" w:hAnsi="微软雅黑" w:eastAsia="微软雅黑" w:cs="宋体"/>
                <w:color w:val="000000"/>
                <w:kern w:val="0"/>
                <w:sz w:val="24"/>
                <w:szCs w:val="24"/>
              </w:rPr>
            </w:pPr>
            <w:r>
              <w:rPr>
                <w:rFonts w:hint="eastAsia" w:ascii="楷体" w:hAnsi="楷体" w:eastAsia="楷体" w:cs="宋体"/>
                <w:color w:val="000000"/>
                <w:kern w:val="0"/>
                <w:sz w:val="23"/>
                <w:szCs w:val="23"/>
              </w:rPr>
              <w:t>5.要求行政机关确认或重新</w:t>
            </w:r>
          </w:p>
          <w:p>
            <w:pPr>
              <w:widowControl/>
              <w:spacing w:line="300" w:lineRule="atLeast"/>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出具已获取信息</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39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5579"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（六）其他处理</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Height w:val="390" w:hRule="atLeast"/>
        </w:trPr>
        <w:tc>
          <w:tcPr>
            <w:tcW w:w="1047" w:type="dxa"/>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5579"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楷体" w:hAnsi="楷体" w:eastAsia="楷体" w:cs="宋体"/>
                <w:color w:val="000000"/>
                <w:kern w:val="0"/>
                <w:sz w:val="23"/>
                <w:szCs w:val="23"/>
              </w:rPr>
              <w:t>（七）总计</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jc w:val="left"/>
              <w:rPr>
                <w:rFonts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gridAfter w:val="1"/>
          <w:wAfter w:w="19" w:type="dxa"/>
        </w:trPr>
        <w:tc>
          <w:tcPr>
            <w:tcW w:w="6626" w:type="dxa"/>
            <w:gridSpan w:val="3"/>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四、结转下年度继续办理</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417"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1134"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3"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992"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851" w:type="dxa"/>
            <w:gridSpan w:val="2"/>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23"/>
                <w:szCs w:val="23"/>
              </w:rPr>
              <w:t>0</w:t>
            </w:r>
          </w:p>
        </w:tc>
      </w:tr>
    </w:tbl>
    <w:p>
      <w:pPr>
        <w:widowControl/>
        <w:ind w:firstLine="480"/>
        <w:jc w:val="left"/>
        <w:rPr>
          <w:rFonts w:hint="eastAsia" w:ascii="宋体" w:hAnsi="宋体" w:eastAsia="宋体" w:cs="宋体"/>
          <w:color w:val="000000"/>
          <w:kern w:val="0"/>
          <w:sz w:val="27"/>
          <w:szCs w:val="27"/>
        </w:rPr>
      </w:pPr>
    </w:p>
    <w:p>
      <w:pPr>
        <w:widowControl/>
        <w:jc w:val="left"/>
        <w:rPr>
          <w:rFonts w:hint="eastAsia" w:ascii="微软雅黑" w:hAnsi="微软雅黑" w:eastAsia="微软雅黑" w:cs="宋体"/>
          <w:color w:val="000000"/>
          <w:kern w:val="0"/>
          <w:sz w:val="24"/>
          <w:szCs w:val="24"/>
        </w:rPr>
      </w:pPr>
      <w:r>
        <w:rPr>
          <w:rFonts w:hint="eastAsia" w:ascii="宋体" w:hAnsi="宋体" w:eastAsia="宋体" w:cs="宋体"/>
          <w:color w:val="000000"/>
          <w:kern w:val="0"/>
          <w:sz w:val="27"/>
          <w:szCs w:val="27"/>
        </w:rPr>
        <w:t>四、政府信息公开行政复议、行政诉讼情况</w:t>
      </w:r>
    </w:p>
    <w:p>
      <w:pPr>
        <w:widowControl/>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p>
    <w:tbl>
      <w:tblPr>
        <w:tblStyle w:val="5"/>
        <w:tblW w:w="13965" w:type="dxa"/>
        <w:tblInd w:w="0" w:type="dxa"/>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Layout w:type="autofit"/>
        <w:tblCellMar>
          <w:top w:w="0" w:type="dxa"/>
          <w:left w:w="0" w:type="dxa"/>
          <w:bottom w:w="0" w:type="dxa"/>
          <w:right w:w="0" w:type="dxa"/>
        </w:tblCellMar>
      </w:tblPr>
      <w:tblGrid>
        <w:gridCol w:w="931"/>
        <w:gridCol w:w="931"/>
        <w:gridCol w:w="931"/>
        <w:gridCol w:w="931"/>
        <w:gridCol w:w="931"/>
        <w:gridCol w:w="931"/>
        <w:gridCol w:w="931"/>
        <w:gridCol w:w="931"/>
        <w:gridCol w:w="931"/>
        <w:gridCol w:w="931"/>
        <w:gridCol w:w="931"/>
        <w:gridCol w:w="931"/>
        <w:gridCol w:w="931"/>
        <w:gridCol w:w="931"/>
        <w:gridCol w:w="931"/>
      </w:tblGrid>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95" w:hRule="atLeast"/>
        </w:trPr>
        <w:tc>
          <w:tcPr>
            <w:tcW w:w="2895" w:type="dxa"/>
            <w:gridSpan w:val="5"/>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行政复议</w:t>
            </w:r>
          </w:p>
        </w:tc>
        <w:tc>
          <w:tcPr>
            <w:tcW w:w="6180" w:type="dxa"/>
            <w:gridSpan w:val="10"/>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行政诉讼</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540" w:hRule="atLeast"/>
        </w:trPr>
        <w:tc>
          <w:tcPr>
            <w:tcW w:w="600"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hint="eastAsia"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维持</w:t>
            </w:r>
          </w:p>
        </w:tc>
        <w:tc>
          <w:tcPr>
            <w:tcW w:w="600"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结果纠正</w:t>
            </w:r>
          </w:p>
        </w:tc>
        <w:tc>
          <w:tcPr>
            <w:tcW w:w="600"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其他结果</w:t>
            </w:r>
          </w:p>
        </w:tc>
        <w:tc>
          <w:tcPr>
            <w:tcW w:w="600"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尚未</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审结</w:t>
            </w:r>
          </w:p>
        </w:tc>
        <w:tc>
          <w:tcPr>
            <w:tcW w:w="480" w:type="dxa"/>
            <w:vMerge w:val="restart"/>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总</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计</w:t>
            </w:r>
          </w:p>
        </w:tc>
        <w:tc>
          <w:tcPr>
            <w:tcW w:w="3150" w:type="dxa"/>
            <w:gridSpan w:val="5"/>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未经复议直接起诉</w:t>
            </w:r>
          </w:p>
        </w:tc>
        <w:tc>
          <w:tcPr>
            <w:tcW w:w="3030" w:type="dxa"/>
            <w:gridSpan w:val="5"/>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复议后起诉</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900" w:hRule="atLeast"/>
        </w:trPr>
        <w:tc>
          <w:tcPr>
            <w:tcW w:w="0" w:type="auto"/>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0" w:type="auto"/>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0" w:type="auto"/>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0" w:type="auto"/>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0" w:type="auto"/>
            <w:vMerge w:val="continue"/>
            <w:tcBorders>
              <w:top w:val="single" w:color="CCCCCC" w:sz="6" w:space="0"/>
              <w:left w:val="single" w:color="CCCCCC" w:sz="6" w:space="0"/>
              <w:bottom w:val="single" w:color="CCCCCC" w:sz="6" w:space="0"/>
              <w:right w:val="single" w:color="CCCCCC" w:sz="6" w:space="0"/>
            </w:tcBorders>
            <w:vAlign w:val="center"/>
          </w:tcPr>
          <w:p>
            <w:pPr>
              <w:widowControl/>
              <w:jc w:val="left"/>
              <w:rPr>
                <w:rFonts w:ascii="微软雅黑" w:hAnsi="微软雅黑" w:eastAsia="微软雅黑" w:cs="宋体"/>
                <w:color w:val="000000"/>
                <w:kern w:val="0"/>
                <w:sz w:val="24"/>
                <w:szCs w:val="24"/>
              </w:rPr>
            </w:pPr>
          </w:p>
        </w:tc>
        <w:tc>
          <w:tcPr>
            <w:tcW w:w="73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结果维持</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结果纠正</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其他</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尚未</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审结</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总计</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结果维持</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纠正</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其他</w:t>
            </w:r>
          </w:p>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结果</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尚未审结</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left"/>
              <w:rPr>
                <w:rFonts w:ascii="微软雅黑" w:hAnsi="微软雅黑" w:eastAsia="微软雅黑" w:cs="宋体"/>
                <w:color w:val="000000"/>
                <w:kern w:val="0"/>
                <w:sz w:val="24"/>
                <w:szCs w:val="24"/>
              </w:rPr>
            </w:pPr>
            <w:r>
              <w:rPr>
                <w:rFonts w:hint="eastAsia" w:ascii="宋体" w:hAnsi="宋体" w:eastAsia="宋体" w:cs="宋体"/>
                <w:color w:val="000000"/>
                <w:kern w:val="0"/>
                <w:sz w:val="18"/>
                <w:szCs w:val="18"/>
              </w:rPr>
              <w:t>总计</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48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735"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c>
          <w:tcPr>
            <w:tcW w:w="600" w:type="dxa"/>
            <w:tcBorders>
              <w:top w:val="single" w:color="CCCCCC" w:sz="6" w:space="0"/>
              <w:left w:val="single" w:color="CCCCCC" w:sz="6" w:space="0"/>
              <w:bottom w:val="single" w:color="CCCCCC" w:sz="6" w:space="0"/>
              <w:right w:val="single" w:color="CCCCCC" w:sz="6" w:space="0"/>
            </w:tcBorders>
            <w:tcMar>
              <w:top w:w="0" w:type="dxa"/>
              <w:left w:w="105" w:type="dxa"/>
              <w:bottom w:w="0" w:type="dxa"/>
              <w:right w:w="105" w:type="dxa"/>
            </w:tcMar>
            <w:vAlign w:val="center"/>
          </w:tcPr>
          <w:p>
            <w:pPr>
              <w:widowControl/>
              <w:ind w:firstLine="480"/>
              <w:jc w:val="center"/>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3"/>
                <w:szCs w:val="23"/>
              </w:rPr>
              <w:t>0</w:t>
            </w:r>
          </w:p>
        </w:tc>
      </w:tr>
    </w:tbl>
    <w:p>
      <w:pPr>
        <w:pStyle w:val="4"/>
        <w:ind w:firstLine="480"/>
        <w:rPr>
          <w:rFonts w:hint="eastAsia"/>
          <w:sz w:val="27"/>
          <w:szCs w:val="27"/>
        </w:rPr>
      </w:pPr>
    </w:p>
    <w:p>
      <w:pPr>
        <w:pStyle w:val="4"/>
        <w:spacing w:before="0" w:beforeAutospacing="0" w:after="0" w:afterAutospacing="0"/>
        <w:ind w:firstLine="480"/>
        <w:rPr>
          <w:rFonts w:ascii="微软雅黑" w:hAnsi="微软雅黑" w:eastAsia="微软雅黑"/>
          <w:color w:val="000000"/>
        </w:rPr>
      </w:pPr>
      <w:r>
        <w:rPr>
          <w:rFonts w:hint="eastAsia"/>
          <w:color w:val="000000"/>
          <w:sz w:val="27"/>
          <w:szCs w:val="27"/>
        </w:rPr>
        <w:t>五、存在的主要问题及改进情况</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（一）信息公开内容需要进一步充实。</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主动公开的政府信息与公众的需求还存在一些距离，有关决策、规定、规划、计划、方案的公开需要进一步加强。下一步我办将以实时充实公开信息内容为总目标，按照“以公开为原则，不公开为例外”的总体要求，进一步做好政府信息公开工作，加强充实产业转移和东部化工区污水处理厂工作内容；加强充实政府决策、规定、规划、计划、方案等各类文件内容，提高信息公开工作的质量和服务水平。</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（二）产业转移宣传工作需要进一步加强。</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由于东部化工区污水处理厂工作仍是今年的重点工作，其宣传工作需要在实际中得到进一步加强。</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（三）加强专职信息人员的培训学习。</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进一步加强对信息专职人员进行培训，继续深入学习《中华人民共和国政府信息公开条例》等一系列规章制度，加深对信息公开工作的认识，进一步提高政府信息公开工作水平。</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六、其他需要报告的事项</w:t>
      </w:r>
    </w:p>
    <w:p>
      <w:pPr>
        <w:pStyle w:val="4"/>
        <w:spacing w:before="0" w:beforeAutospacing="0" w:after="0" w:afterAutospacing="0"/>
        <w:ind w:firstLine="480"/>
        <w:rPr>
          <w:rFonts w:hint="eastAsia" w:ascii="微软雅黑" w:hAnsi="微软雅黑" w:eastAsia="微软雅黑"/>
          <w:color w:val="000000"/>
        </w:rPr>
      </w:pPr>
      <w:r>
        <w:rPr>
          <w:rFonts w:hint="eastAsia"/>
          <w:color w:val="000000"/>
          <w:sz w:val="27"/>
          <w:szCs w:val="27"/>
        </w:rPr>
        <w:t>无。</w:t>
      </w:r>
    </w:p>
    <w:p>
      <w:pPr>
        <w:pStyle w:val="4"/>
        <w:ind w:firstLine="480"/>
        <w:rPr>
          <w:rFonts w:hint="eastAsia"/>
        </w:rPr>
      </w:pPr>
      <w:r>
        <w:t> </w:t>
      </w:r>
    </w:p>
    <w:p>
      <w:pPr>
        <w:pStyle w:val="4"/>
        <w:ind w:firstLine="480"/>
      </w:pPr>
      <w:r>
        <w:t> </w:t>
      </w:r>
    </w:p>
    <w:p>
      <w:pPr>
        <w:pStyle w:val="4"/>
        <w:ind w:firstLine="480"/>
      </w:pPr>
      <w:r>
        <w:t> </w:t>
      </w:r>
    </w:p>
    <w:p>
      <w:pPr>
        <w:pStyle w:val="4"/>
        <w:ind w:firstLine="480"/>
      </w:pPr>
      <w:r>
        <w:t> </w:t>
      </w:r>
    </w:p>
    <w:p>
      <w:pPr>
        <w:pStyle w:val="4"/>
        <w:ind w:firstLine="480"/>
        <w:rPr>
          <w:rFonts w:hint="eastAsia"/>
          <w:sz w:val="27"/>
          <w:szCs w:val="27"/>
        </w:rPr>
      </w:pPr>
    </w:p>
    <w:p>
      <w:pPr>
        <w:pStyle w:val="4"/>
        <w:ind w:firstLine="480"/>
        <w:rPr>
          <w:rFonts w:hint="eastAsia"/>
          <w:sz w:val="27"/>
          <w:szCs w:val="27"/>
        </w:rPr>
      </w:pPr>
    </w:p>
    <w:p>
      <w:pPr>
        <w:pStyle w:val="4"/>
        <w:ind w:firstLine="480"/>
      </w:pPr>
    </w:p>
    <w:p>
      <w:pPr>
        <w:pStyle w:val="4"/>
        <w:spacing w:before="0" w:beforeAutospacing="0" w:after="0" w:afterAutospacing="0"/>
        <w:ind w:firstLine="480"/>
        <w:rPr>
          <w:rFonts w:ascii="微软雅黑" w:hAnsi="微软雅黑" w:eastAsia="微软雅黑"/>
          <w:color w:val="000000"/>
        </w:rPr>
      </w:pPr>
      <w:r>
        <w:rPr>
          <w:rFonts w:hint="eastAsia" w:ascii="微软雅黑" w:hAnsi="微软雅黑" w:eastAsia="微软雅黑"/>
          <w:color w:val="000000"/>
        </w:rPr>
        <w:t> </w:t>
      </w:r>
    </w:p>
    <w:p>
      <w:pPr>
        <w:widowControl/>
        <w:jc w:val="left"/>
        <w:rPr>
          <w:rFonts w:hint="eastAsia" w:ascii="微软雅黑" w:hAnsi="微软雅黑" w:eastAsia="微软雅黑" w:cs="宋体"/>
          <w:color w:val="000000"/>
          <w:kern w:val="0"/>
          <w:sz w:val="24"/>
          <w:szCs w:val="24"/>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C2F57"/>
    <w:rsid w:val="008C2F57"/>
    <w:rsid w:val="00C2122B"/>
    <w:rsid w:val="71060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2318</Words>
  <Characters>2368</Characters>
  <Lines>20</Lines>
  <Paragraphs>5</Paragraphs>
  <TotalTime>5</TotalTime>
  <ScaleCrop>false</ScaleCrop>
  <LinksUpToDate>false</LinksUpToDate>
  <CharactersWithSpaces>2408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2021-01-13T03:12:00Z</dcterms:created>
  <dc:creator>AutoBVT</dc:creator>
  <cp:lastModifiedBy>倩</cp:lastModifiedBy>
  <dcterms:modified xsi:type="dcterms:W3CDTF">2021-01-13T03:20:49Z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