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方正小标宋简体" w:hAnsi="方正小标宋简体" w:eastAsia="方正小标宋简体" w:cs="方正小标宋简体"/>
          <w:b w:val="0"/>
          <w:bCs w:val="0"/>
          <w:i w:val="0"/>
          <w:caps w:val="0"/>
          <w:color w:val="auto"/>
          <w:spacing w:val="0"/>
          <w:sz w:val="44"/>
          <w:szCs w:val="44"/>
          <w:highlight w:val="none"/>
          <w:shd w:val="clear" w:fill="FFFFFF"/>
          <w:lang w:val="en-US" w:eastAsia="zh-CN"/>
        </w:rPr>
      </w:pPr>
      <w:r>
        <w:rPr>
          <w:rFonts w:hint="eastAsia" w:ascii="方正小标宋简体" w:hAnsi="方正小标宋简体" w:eastAsia="方正小标宋简体" w:cs="方正小标宋简体"/>
          <w:b w:val="0"/>
          <w:bCs w:val="0"/>
          <w:i w:val="0"/>
          <w:caps w:val="0"/>
          <w:color w:val="auto"/>
          <w:spacing w:val="0"/>
          <w:sz w:val="44"/>
          <w:szCs w:val="44"/>
          <w:highlight w:val="none"/>
          <w:shd w:val="clear" w:fill="FFFFFF"/>
          <w:lang w:val="en-US" w:eastAsia="zh-CN"/>
        </w:rPr>
        <w:t>张店区财政局</w:t>
      </w:r>
      <w:r>
        <w:rPr>
          <w:rFonts w:hint="eastAsia" w:ascii="Times New Roman" w:hAnsi="Times New Roman" w:eastAsia="方正小标宋简体" w:cs="方正小标宋简体"/>
          <w:b w:val="0"/>
          <w:bCs w:val="0"/>
          <w:i w:val="0"/>
          <w:caps w:val="0"/>
          <w:color w:val="auto"/>
          <w:spacing w:val="0"/>
          <w:sz w:val="44"/>
          <w:szCs w:val="44"/>
          <w:highlight w:val="none"/>
          <w:shd w:val="clear" w:fill="FFFFFF"/>
          <w:lang w:val="en-US" w:eastAsia="zh-CN"/>
        </w:rPr>
        <w:t>2022</w:t>
      </w:r>
      <w:r>
        <w:rPr>
          <w:rFonts w:hint="eastAsia" w:ascii="方正小标宋简体" w:hAnsi="方正小标宋简体" w:eastAsia="方正小标宋简体" w:cs="方正小标宋简体"/>
          <w:b w:val="0"/>
          <w:bCs w:val="0"/>
          <w:i w:val="0"/>
          <w:caps w:val="0"/>
          <w:color w:val="auto"/>
          <w:spacing w:val="0"/>
          <w:sz w:val="44"/>
          <w:szCs w:val="44"/>
          <w:highlight w:val="none"/>
          <w:shd w:val="clear" w:fill="FFFFFF"/>
          <w:lang w:val="en-US" w:eastAsia="zh-CN"/>
        </w:rPr>
        <w:t>年政府信息公开</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方正小标宋简体" w:hAnsi="方正小标宋简体" w:eastAsia="方正小标宋简体" w:cs="方正小标宋简体"/>
          <w:b w:val="0"/>
          <w:bCs w:val="0"/>
          <w:i w:val="0"/>
          <w:caps w:val="0"/>
          <w:color w:val="auto"/>
          <w:spacing w:val="0"/>
          <w:sz w:val="44"/>
          <w:szCs w:val="44"/>
          <w:highlight w:val="none"/>
          <w:shd w:val="clear" w:fill="FFFFFF"/>
          <w:lang w:val="en-US" w:eastAsia="zh-CN"/>
        </w:rPr>
      </w:pPr>
      <w:r>
        <w:rPr>
          <w:rFonts w:hint="eastAsia" w:ascii="方正小标宋简体" w:hAnsi="方正小标宋简体" w:eastAsia="方正小标宋简体" w:cs="方正小标宋简体"/>
          <w:b w:val="0"/>
          <w:bCs w:val="0"/>
          <w:i w:val="0"/>
          <w:caps w:val="0"/>
          <w:color w:val="auto"/>
          <w:spacing w:val="0"/>
          <w:sz w:val="44"/>
          <w:szCs w:val="44"/>
          <w:highlight w:val="none"/>
          <w:shd w:val="clear" w:fill="FFFFFF"/>
          <w:lang w:val="en-US" w:eastAsia="zh-CN"/>
        </w:rPr>
        <w:t>工作年度报告</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jc w:val="center"/>
        <w:textAlignment w:val="auto"/>
        <w:outlineLvl w:val="9"/>
        <w:rPr>
          <w:rFonts w:hint="eastAsia" w:ascii="方正粗黑宋简体" w:hAnsi="方正粗黑宋简体" w:eastAsia="方正粗黑宋简体" w:cs="方正粗黑宋简体"/>
          <w:b w:val="0"/>
          <w:bCs w:val="0"/>
          <w:i w:val="0"/>
          <w:caps w:val="0"/>
          <w:color w:val="auto"/>
          <w:spacing w:val="0"/>
          <w:sz w:val="44"/>
          <w:szCs w:val="44"/>
          <w:highlight w:val="none"/>
          <w:shd w:val="clear" w:fill="FFFFFF"/>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pP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本年度报告中所列数据的统计期限自2022年1月1日起，至2022年12月31日止。如对报告内容有疑问，请与淄博市张店区财政局联系（地址：淄博市张店区新村西路226号；邮编：255000；电话：0533-2869974；邮箱：zdqczjbgs@zb.shandong.cn）</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pPr>
      <w:r>
        <w:rPr>
          <w:rFonts w:hint="eastAsia" w:ascii="Times New Roman" w:hAnsi="Times New Roman" w:eastAsia="黑体" w:cs="黑体"/>
          <w:b w:val="0"/>
          <w:bCs w:val="0"/>
          <w:i w:val="0"/>
          <w:caps w:val="0"/>
          <w:color w:val="auto"/>
          <w:spacing w:val="0"/>
          <w:sz w:val="32"/>
          <w:szCs w:val="32"/>
          <w:highlight w:val="none"/>
          <w:shd w:val="clear" w:fill="FFFFFF"/>
          <w:lang w:val="en-US" w:eastAsia="zh-CN"/>
        </w:rPr>
        <w:t>一、总体情况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pP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2022年，区财政局政府信息公</w:t>
      </w:r>
      <w:bookmarkStart w:id="0" w:name="_GoBack"/>
      <w:bookmarkEnd w:id="0"/>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开工作坚持以习近平新时代中国特色社会主义思想为指导，严格按照中央、省、市、区政府有关政府信息公开工作具体要求，积极开展政府信息公开相关工作，及时回应社会关切，进一步推进决策、执行、管理、服务、结果公开，提高行政效能，优化政府信息服务，更好地保障人民群众的知情权、参与权、表达权和监督权，切实提高了政府信息公开工作实效性、便民性。</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楷体_GB2312" w:hAnsi="楷体_GB2312" w:eastAsia="楷体_GB2312" w:cs="楷体_GB2312"/>
          <w:b w:val="0"/>
          <w:bCs w:val="0"/>
          <w:i w:val="0"/>
          <w:caps w:val="0"/>
          <w:color w:val="auto"/>
          <w:spacing w:val="0"/>
          <w:sz w:val="32"/>
          <w:szCs w:val="32"/>
          <w:highlight w:val="none"/>
          <w:shd w:val="clear" w:fill="FFFFFF"/>
          <w:lang w:val="en-US" w:eastAsia="zh-CN"/>
        </w:rPr>
      </w:pPr>
      <w:r>
        <w:rPr>
          <w:rFonts w:hint="eastAsia" w:ascii="楷体_GB2312" w:hAnsi="楷体_GB2312" w:eastAsia="楷体_GB2312" w:cs="楷体_GB2312"/>
          <w:b w:val="0"/>
          <w:bCs w:val="0"/>
          <w:i w:val="0"/>
          <w:caps w:val="0"/>
          <w:color w:val="auto"/>
          <w:spacing w:val="0"/>
          <w:sz w:val="32"/>
          <w:szCs w:val="32"/>
          <w:highlight w:val="none"/>
          <w:shd w:val="clear" w:fill="FFFFFF"/>
          <w:lang w:val="en-US" w:eastAsia="zh-CN"/>
        </w:rPr>
        <w:t>主动公开情况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pP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坚持以“以公开为常态，不公开为例外”原则，主动公开本单位政府信息。2022年，区财政局公开行政性事业收费目录44条、其他依据和通知23条、政府性基金目录12条、政府集中采购目录和标准29条、区政府预决算公开3条、财政收支12条、重点项目绩效2条、政府隐性债务7条以及国资国企信息披露14条。</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0"/>
        <w:jc w:val="both"/>
        <w:textAlignment w:val="auto"/>
        <w:outlineLvl w:val="9"/>
        <w:rPr>
          <w:rFonts w:hint="eastAsia" w:ascii="楷体_GB2312" w:hAnsi="楷体_GB2312" w:eastAsia="楷体_GB2312" w:cs="楷体_GB2312"/>
          <w:b w:val="0"/>
          <w:bCs w:val="0"/>
          <w:i w:val="0"/>
          <w:caps w:val="0"/>
          <w:color w:val="auto"/>
          <w:spacing w:val="0"/>
          <w:sz w:val="32"/>
          <w:szCs w:val="32"/>
          <w:highlight w:val="none"/>
          <w:shd w:val="clear" w:fill="FFFFFF"/>
          <w:lang w:val="en-US" w:eastAsia="zh-CN"/>
        </w:rPr>
      </w:pPr>
      <w:r>
        <w:rPr>
          <w:rFonts w:hint="eastAsia" w:ascii="楷体_GB2312" w:hAnsi="楷体_GB2312" w:eastAsia="楷体_GB2312" w:cs="楷体_GB2312"/>
          <w:b w:val="0"/>
          <w:bCs w:val="0"/>
          <w:i w:val="0"/>
          <w:caps w:val="0"/>
          <w:color w:val="auto"/>
          <w:spacing w:val="0"/>
          <w:sz w:val="32"/>
          <w:szCs w:val="32"/>
          <w:highlight w:val="none"/>
          <w:shd w:val="clear" w:fill="FFFFFF"/>
          <w:lang w:val="en-US" w:eastAsia="zh-CN"/>
        </w:rPr>
        <w:t>依申请公开情况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仿宋_GB2312" w:cs="仿宋_GB2312"/>
          <w:b w:val="0"/>
          <w:bCs w:val="0"/>
          <w:i w:val="0"/>
          <w:caps w:val="0"/>
          <w:color w:val="auto"/>
          <w:spacing w:val="0"/>
          <w:sz w:val="32"/>
          <w:szCs w:val="32"/>
          <w:highlight w:val="none"/>
          <w:shd w:val="clear" w:fill="FFFFFF"/>
          <w:lang w:val="en-US" w:eastAsia="zh-CN"/>
        </w:rPr>
      </w:pP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2022年度，区财政局办理政府信息公开申请1件，其中自然人1件。申请内容主要包括：《</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关于张店区</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2010</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年财政预算执行情况和</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2011</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年财政预算（草案）的报告》《关于张店区</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2011</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年财政预算执行情况和</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2012</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年财政预算（草案）的报告》《关于张店区</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2012</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年财政预算执行情况和</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2013</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年财政预算（草案）的报告》《关于张店区</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2013</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年财政预算执行情况和</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2014</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年财政预算（草案）的报告》《关于张店区</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2014</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年财政预算执行情况和</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2015</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年财政预算（草案）的报告》《关于张店区</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2015</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年财政预算执行情况和</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2016</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年财政预算（草案）的报告》《关于张店区</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2016</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年财政预算执行情况和</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2017</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年财政预算（草案）的报告》《关于</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2011</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年区级财政决算（草案）的报告》《关于</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2012</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年区级财政决算（草案）的报告》《关于</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2013</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年区级财政决算（草案）的报告》《关于</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2014</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年区级财政决算（草案）的报告》《关于</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2015</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年区级财政决算（草案）的报告》《关于</w:t>
      </w:r>
      <w:r>
        <w:rPr>
          <w:rFonts w:hint="eastAsia" w:ascii="Times New Roman" w:hAnsi="Times New Roman" w:eastAsia="仿宋_GB2312" w:cs="仿宋_GB2312"/>
          <w:b w:val="0"/>
          <w:bCs w:val="0"/>
          <w:i w:val="0"/>
          <w:iCs w:val="0"/>
          <w:caps w:val="0"/>
          <w:color w:val="auto"/>
          <w:spacing w:val="0"/>
          <w:kern w:val="0"/>
          <w:sz w:val="32"/>
          <w:szCs w:val="32"/>
          <w:highlight w:val="none"/>
          <w:shd w:val="clear" w:fill="FFFFFF"/>
        </w:rPr>
        <w:t>2016</w:t>
      </w:r>
      <w:r>
        <w:rPr>
          <w:rFonts w:hint="eastAsia" w:ascii="仿宋_GB2312" w:hAnsi="仿宋_GB2312" w:eastAsia="仿宋_GB2312" w:cs="仿宋_GB2312"/>
          <w:b w:val="0"/>
          <w:bCs w:val="0"/>
          <w:i w:val="0"/>
          <w:iCs w:val="0"/>
          <w:caps w:val="0"/>
          <w:color w:val="auto"/>
          <w:spacing w:val="0"/>
          <w:kern w:val="0"/>
          <w:sz w:val="32"/>
          <w:szCs w:val="32"/>
          <w:highlight w:val="none"/>
          <w:shd w:val="clear" w:fill="FFFFFF"/>
        </w:rPr>
        <w:t>年区级财政决算（草案）的报告》</w:t>
      </w: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。共作出政府信息公开答复书1件，其中予以公开1件，占100％，不予公开0件，占0％，无法提供0件，占0％。</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jc w:val="center"/>
        <w:textAlignment w:val="auto"/>
        <w:outlineLvl w:val="9"/>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pP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drawing>
          <wp:inline distT="0" distB="0" distL="114300" distR="114300">
            <wp:extent cx="3857625" cy="2324100"/>
            <wp:effectExtent l="0" t="0" r="13335" b="7620"/>
            <wp:docPr id="3" name="图片 3" descr="ae1caba03a8d9ad239c523cf632fb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e1caba03a8d9ad239c523cf632fbc9"/>
                    <pic:cNvPicPr>
                      <a:picLocks noChangeAspect="1"/>
                    </pic:cNvPicPr>
                  </pic:nvPicPr>
                  <pic:blipFill>
                    <a:blip r:embed="rId5"/>
                    <a:stretch>
                      <a:fillRect/>
                    </a:stretch>
                  </pic:blipFill>
                  <pic:spPr>
                    <a:xfrm>
                      <a:off x="0" y="0"/>
                      <a:ext cx="3857625" cy="2324100"/>
                    </a:xfrm>
                    <a:prstGeom prst="rect">
                      <a:avLst/>
                    </a:prstGeom>
                  </pic:spPr>
                </pic:pic>
              </a:graphicData>
            </a:graphic>
          </wp:inline>
        </w:drawing>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jc w:val="both"/>
        <w:textAlignment w:val="auto"/>
        <w:outlineLvl w:val="9"/>
        <w:rPr>
          <w:rFonts w:hint="eastAsia" w:ascii="楷体_GB2312" w:hAnsi="楷体_GB2312" w:eastAsia="楷体_GB2312" w:cs="楷体_GB2312"/>
          <w:b w:val="0"/>
          <w:bCs w:val="0"/>
          <w:i w:val="0"/>
          <w:caps w:val="0"/>
          <w:color w:val="auto"/>
          <w:spacing w:val="0"/>
          <w:sz w:val="32"/>
          <w:szCs w:val="32"/>
          <w:highlight w:val="none"/>
          <w:shd w:val="clear" w:fill="FFFFFF"/>
          <w:lang w:val="en-US" w:eastAsia="zh-CN"/>
        </w:rPr>
      </w:pPr>
      <w:r>
        <w:rPr>
          <w:rFonts w:hint="eastAsia" w:ascii="楷体_GB2312" w:hAnsi="楷体_GB2312" w:eastAsia="楷体_GB2312" w:cs="楷体_GB2312"/>
          <w:b w:val="0"/>
          <w:bCs w:val="0"/>
          <w:i w:val="0"/>
          <w:caps w:val="0"/>
          <w:color w:val="auto"/>
          <w:spacing w:val="0"/>
          <w:sz w:val="32"/>
          <w:szCs w:val="32"/>
          <w:highlight w:val="none"/>
          <w:shd w:val="clear" w:fill="FFFFFF"/>
          <w:lang w:val="en-US" w:eastAsia="zh-CN"/>
        </w:rPr>
        <w:t>（三）政府信息管理情况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一是加强组织领导，细化责任分工。区财政局高度重视政府信息公开工作，加强政府信息公开工作力度，进一步明确机关各科室职责分工，对工作任务逐项细化分解，明确分工、压实责任，严格落实“谁审核谁负责”责任制，对上传政府信息严格把关，确保公开信息内容真是、准确、合法、合规。明确专人负责公开信</w:t>
      </w: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息的上传、发布、监测和维护，及时监测、引导、处置负面舆情。</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二是加大公开力度，突出财政信息。</w:t>
      </w: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在扎实做好各项重点工作公开的基础上，区财政局依托财政职能，依法依规公开相关财政信息。与此同时，重点做好预决算公开工作，实行预决算“双公开”，在政府信息公开平台按时间节点公开区政府预决算、部门预决算情况，并继续为没有信息公开平台的人大、政协、团区委、妇联等非政府部门公开预决算，畅通预决算的公开渠道。</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0" w:leftChars="0" w:right="0" w:rightChars="0"/>
        <w:jc w:val="left"/>
        <w:textAlignment w:val="auto"/>
        <w:outlineLvl w:val="9"/>
        <w:rPr>
          <w:rFonts w:hint="eastAsia" w:ascii="楷体_GB2312" w:hAnsi="楷体_GB2312" w:eastAsia="楷体_GB2312" w:cs="楷体_GB2312"/>
          <w:b w:val="0"/>
          <w:bCs w:val="0"/>
          <w:i w:val="0"/>
          <w:caps w:val="0"/>
          <w:color w:val="auto"/>
          <w:spacing w:val="0"/>
          <w:sz w:val="32"/>
          <w:szCs w:val="32"/>
          <w:highlight w:val="none"/>
          <w:shd w:val="clear" w:fill="FFFFFF"/>
          <w:lang w:val="en-US" w:eastAsia="zh-CN"/>
        </w:rPr>
      </w:pPr>
      <w:r>
        <w:rPr>
          <w:rFonts w:hint="eastAsia" w:ascii="楷体_GB2312" w:hAnsi="楷体_GB2312" w:eastAsia="楷体_GB2312" w:cs="楷体_GB2312"/>
          <w:b w:val="0"/>
          <w:bCs w:val="0"/>
          <w:i w:val="0"/>
          <w:caps w:val="0"/>
          <w:color w:val="auto"/>
          <w:spacing w:val="0"/>
          <w:sz w:val="32"/>
          <w:szCs w:val="32"/>
          <w:highlight w:val="none"/>
          <w:shd w:val="clear" w:fill="FFFFFF"/>
          <w:lang w:val="en-US" w:eastAsia="zh-CN"/>
        </w:rPr>
        <w:t>（四）政府信息公开平台建设情况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pP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优化平台建设，做好重点公开。根据上级部署，进一步优化用好政府信息公开平台——融公开平台，根据工作需要添加相关模块和内容，按照对应模块及时公开相关信息，并做好后续相关信息的上传和维护。充分用好政府信息公开平台，做好政策文件、机构职能、领导信息的公开，突出公共资源配置、行政事业性收费、公共监管等重点领域及重点项目绩效、财政收支、政府债务、预决算等重点业务的公开，并做好政策解读相关工作，增进公众对财政工作的认识和了解。</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楷体_GB2312" w:hAnsi="楷体_GB2312" w:eastAsia="楷体_GB2312" w:cs="楷体_GB2312"/>
          <w:b w:val="0"/>
          <w:bCs w:val="0"/>
          <w:i w:val="0"/>
          <w:caps w:val="0"/>
          <w:color w:val="auto"/>
          <w:spacing w:val="0"/>
          <w:sz w:val="32"/>
          <w:szCs w:val="32"/>
          <w:highlight w:val="none"/>
          <w:shd w:val="clear" w:fill="FFFFFF"/>
          <w:lang w:val="en-US" w:eastAsia="zh-CN"/>
        </w:rPr>
      </w:pPr>
      <w:r>
        <w:rPr>
          <w:rFonts w:hint="eastAsia" w:ascii="楷体_GB2312" w:hAnsi="楷体_GB2312" w:eastAsia="楷体_GB2312" w:cs="楷体_GB2312"/>
          <w:b w:val="0"/>
          <w:bCs w:val="0"/>
          <w:i w:val="0"/>
          <w:caps w:val="0"/>
          <w:color w:val="auto"/>
          <w:spacing w:val="0"/>
          <w:sz w:val="32"/>
          <w:szCs w:val="32"/>
          <w:highlight w:val="none"/>
          <w:shd w:val="clear" w:fill="FFFFFF"/>
          <w:lang w:val="en-US" w:eastAsia="zh-CN"/>
        </w:rPr>
        <w:t>（五）监督保障情况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default" w:ascii="Times New Roman" w:hAnsi="Times New Roman" w:eastAsia="仿宋_GB2312" w:cs="仿宋_GB2312"/>
          <w:b w:val="0"/>
          <w:bCs w:val="0"/>
          <w:i w:val="0"/>
          <w:caps w:val="0"/>
          <w:color w:val="auto"/>
          <w:spacing w:val="0"/>
          <w:sz w:val="32"/>
          <w:szCs w:val="32"/>
          <w:highlight w:val="none"/>
          <w:shd w:val="clear" w:fill="FFFFFF"/>
          <w:lang w:val="en-US" w:eastAsia="zh-CN"/>
        </w:rPr>
      </w:pP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区财政局制定《政务公开申请表》，由各科室填制经办公室主任、分管领导、主要领导逐级签字同意，由办公室专职人员对各科室需要主动公开的信息进行审核，确保责任落实到位，以及各科室政府信息报送是否及时、准确、全面。定期对相关人员进行业务培训，积极探讨和实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left"/>
        <w:textAlignment w:val="auto"/>
        <w:outlineLvl w:val="9"/>
        <w:rPr>
          <w:rFonts w:hint="eastAsia" w:ascii="Times New Roman" w:hAnsi="Times New Roman" w:eastAsia="黑体" w:cs="黑体"/>
          <w:b w:val="0"/>
          <w:bCs w:val="0"/>
          <w:i w:val="0"/>
          <w:caps w:val="0"/>
          <w:color w:val="auto"/>
          <w:spacing w:val="0"/>
          <w:sz w:val="32"/>
          <w:szCs w:val="32"/>
          <w:highlight w:val="none"/>
          <w:shd w:val="clear" w:fill="FFFFFF"/>
        </w:rPr>
      </w:pPr>
      <w:r>
        <w:rPr>
          <w:rFonts w:hint="eastAsia" w:ascii="Times New Roman" w:hAnsi="Times New Roman" w:eastAsia="黑体" w:cs="黑体"/>
          <w:b w:val="0"/>
          <w:bCs w:val="0"/>
          <w:i w:val="0"/>
          <w:caps w:val="0"/>
          <w:color w:val="auto"/>
          <w:spacing w:val="0"/>
          <w:sz w:val="32"/>
          <w:szCs w:val="32"/>
          <w:highlight w:val="none"/>
          <w:shd w:val="clear" w:fill="FFFFFF"/>
          <w:lang w:val="en-US" w:eastAsia="zh-CN"/>
        </w:rPr>
        <w:t>二、</w:t>
      </w:r>
      <w:r>
        <w:rPr>
          <w:rFonts w:hint="eastAsia" w:ascii="Times New Roman" w:hAnsi="Times New Roman" w:eastAsia="黑体" w:cs="黑体"/>
          <w:b w:val="0"/>
          <w:bCs w:val="0"/>
          <w:i w:val="0"/>
          <w:caps w:val="0"/>
          <w:color w:val="auto"/>
          <w:spacing w:val="0"/>
          <w:sz w:val="32"/>
          <w:szCs w:val="32"/>
          <w:highlight w:val="none"/>
          <w:shd w:val="clear" w:fill="FFFFFF"/>
        </w:rPr>
        <w:t>主动公开政府信息情况</w:t>
      </w:r>
    </w:p>
    <w:tbl>
      <w:tblPr>
        <w:tblStyle w:val="6"/>
        <w:tblW w:w="89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485"/>
        <w:gridCol w:w="2147"/>
        <w:gridCol w:w="2147"/>
        <w:gridCol w:w="21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8928" w:type="dxa"/>
            <w:gridSpan w:val="4"/>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信息内容</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lang w:eastAsia="zh-CN"/>
              </w:rPr>
            </w:pPr>
            <w:r>
              <w:rPr>
                <w:rFonts w:hint="eastAsia" w:ascii="Times New Roman" w:hAnsi="Times New Roman" w:eastAsia="仿宋_GB2312" w:cs="仿宋_GB2312"/>
                <w:b w:val="0"/>
                <w:bCs w:val="0"/>
                <w:i w:val="0"/>
                <w:caps w:val="0"/>
                <w:color w:val="auto"/>
                <w:spacing w:val="0"/>
                <w:sz w:val="24"/>
                <w:szCs w:val="24"/>
                <w:highlight w:val="none"/>
              </w:rPr>
              <w:t>本年</w:t>
            </w:r>
            <w:r>
              <w:rPr>
                <w:rFonts w:hint="eastAsia" w:ascii="Times New Roman" w:hAnsi="Times New Roman" w:eastAsia="仿宋_GB2312" w:cs="仿宋_GB2312"/>
                <w:b w:val="0"/>
                <w:bCs w:val="0"/>
                <w:i w:val="0"/>
                <w:caps w:val="0"/>
                <w:color w:val="auto"/>
                <w:spacing w:val="0"/>
                <w:sz w:val="24"/>
                <w:szCs w:val="24"/>
                <w:highlight w:val="none"/>
                <w:lang w:eastAsia="zh-CN"/>
              </w:rPr>
              <w:t>制发件数</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lang w:eastAsia="zh-CN"/>
              </w:rPr>
            </w:pPr>
            <w:r>
              <w:rPr>
                <w:rFonts w:hint="eastAsia" w:ascii="Times New Roman" w:hAnsi="Times New Roman" w:eastAsia="仿宋_GB2312" w:cs="仿宋_GB2312"/>
                <w:b w:val="0"/>
                <w:bCs w:val="0"/>
                <w:i w:val="0"/>
                <w:caps w:val="0"/>
                <w:color w:val="auto"/>
                <w:spacing w:val="0"/>
                <w:sz w:val="24"/>
                <w:szCs w:val="24"/>
                <w:highlight w:val="none"/>
              </w:rPr>
              <w:t>本年</w:t>
            </w:r>
            <w:r>
              <w:rPr>
                <w:rFonts w:hint="eastAsia" w:ascii="Times New Roman" w:hAnsi="Times New Roman" w:eastAsia="仿宋_GB2312" w:cs="仿宋_GB2312"/>
                <w:b w:val="0"/>
                <w:bCs w:val="0"/>
                <w:i w:val="0"/>
                <w:caps w:val="0"/>
                <w:color w:val="auto"/>
                <w:spacing w:val="0"/>
                <w:sz w:val="24"/>
                <w:szCs w:val="24"/>
                <w:highlight w:val="none"/>
                <w:lang w:eastAsia="zh-CN"/>
              </w:rPr>
              <w:t>废止件数</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lang w:eastAsia="zh-CN"/>
              </w:rPr>
            </w:pPr>
            <w:r>
              <w:rPr>
                <w:rFonts w:hint="eastAsia" w:ascii="Times New Roman" w:hAnsi="Times New Roman" w:eastAsia="仿宋_GB2312" w:cs="仿宋_GB2312"/>
                <w:b w:val="0"/>
                <w:bCs w:val="0"/>
                <w:i w:val="0"/>
                <w:caps w:val="0"/>
                <w:color w:val="auto"/>
                <w:spacing w:val="0"/>
                <w:sz w:val="24"/>
                <w:szCs w:val="24"/>
                <w:highlight w:val="none"/>
                <w:lang w:eastAsia="zh-CN"/>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规章</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0</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0</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规范性文件</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1</w:t>
            </w:r>
          </w:p>
        </w:tc>
        <w:tc>
          <w:tcPr>
            <w:tcW w:w="2147"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0</w:t>
            </w:r>
          </w:p>
        </w:tc>
        <w:tc>
          <w:tcPr>
            <w:tcW w:w="2149"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8928" w:type="dxa"/>
            <w:gridSpan w:val="4"/>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信息内容</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lang w:eastAsia="zh-CN"/>
              </w:rPr>
            </w:pPr>
            <w:r>
              <w:rPr>
                <w:rFonts w:hint="eastAsia" w:ascii="Times New Roman" w:hAnsi="Times New Roman" w:eastAsia="仿宋_GB2312" w:cs="仿宋_GB2312"/>
                <w:b w:val="0"/>
                <w:bCs w:val="0"/>
                <w:color w:val="auto"/>
                <w:sz w:val="24"/>
                <w:szCs w:val="24"/>
                <w:highlight w:val="none"/>
                <w:lang w:eastAsia="zh-CN"/>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行政许可</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8928" w:type="dxa"/>
            <w:gridSpan w:val="4"/>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信息内容</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lang w:eastAsia="zh-CN"/>
              </w:rPr>
            </w:pPr>
            <w:r>
              <w:rPr>
                <w:rFonts w:hint="eastAsia" w:ascii="Times New Roman" w:hAnsi="Times New Roman" w:eastAsia="仿宋_GB2312" w:cs="仿宋_GB2312"/>
                <w:b w:val="0"/>
                <w:bCs w:val="0"/>
                <w:color w:val="auto"/>
                <w:sz w:val="24"/>
                <w:szCs w:val="24"/>
                <w:highlight w:val="none"/>
                <w:lang w:eastAsia="zh-CN"/>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行政处罚</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行政强制</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4"/>
              <w:bidi w:val="0"/>
              <w:jc w:val="center"/>
              <w:rPr>
                <w:rFonts w:hint="default"/>
                <w:b w:val="0"/>
                <w:bCs w:val="0"/>
                <w:color w:val="auto"/>
                <w:sz w:val="24"/>
                <w:szCs w:val="24"/>
                <w:highlight w:val="none"/>
                <w:lang w:val="en-US" w:eastAsia="zh-CN"/>
              </w:rPr>
            </w:pPr>
            <w:r>
              <w:rPr>
                <w:rFonts w:hint="eastAsia" w:ascii="Times New Roman" w:hAnsi="Times New Roman"/>
                <w:b w:val="0"/>
                <w:bCs w:val="0"/>
                <w:color w:val="auto"/>
                <w:sz w:val="24"/>
                <w:szCs w:val="24"/>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8928" w:type="dxa"/>
            <w:gridSpan w:val="4"/>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信息内容</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lang w:eastAsia="zh-CN"/>
              </w:rPr>
            </w:pPr>
            <w:r>
              <w:rPr>
                <w:rFonts w:hint="eastAsia" w:ascii="Times New Roman" w:hAnsi="Times New Roman" w:eastAsia="仿宋_GB2312" w:cs="仿宋_GB2312"/>
                <w:b w:val="0"/>
                <w:bCs w:val="0"/>
                <w:color w:val="auto"/>
                <w:sz w:val="24"/>
                <w:szCs w:val="24"/>
                <w:highlight w:val="none"/>
                <w:lang w:eastAsia="zh-CN"/>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exact"/>
          <w:jc w:val="center"/>
        </w:trPr>
        <w:tc>
          <w:tcPr>
            <w:tcW w:w="2485"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行政事业性收费</w:t>
            </w:r>
          </w:p>
        </w:tc>
        <w:tc>
          <w:tcPr>
            <w:tcW w:w="6443" w:type="dxa"/>
            <w:gridSpan w:val="3"/>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6723.83</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left"/>
        <w:textAlignment w:val="auto"/>
        <w:outlineLvl w:val="9"/>
        <w:rPr>
          <w:rFonts w:hint="eastAsia" w:ascii="Times New Roman" w:hAnsi="Times New Roman" w:eastAsia="黑体" w:cs="黑体"/>
          <w:b w:val="0"/>
          <w:bCs w:val="0"/>
          <w:i w:val="0"/>
          <w:caps w:val="0"/>
          <w:color w:val="auto"/>
          <w:spacing w:val="0"/>
          <w:sz w:val="32"/>
          <w:szCs w:val="32"/>
          <w:highlight w:val="none"/>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left"/>
        <w:textAlignment w:val="auto"/>
        <w:outlineLvl w:val="9"/>
        <w:rPr>
          <w:rFonts w:hint="eastAsia" w:ascii="Times New Roman" w:hAnsi="Times New Roman" w:eastAsia="黑体" w:cs="黑体"/>
          <w:b w:val="0"/>
          <w:bCs w:val="0"/>
          <w:i w:val="0"/>
          <w:caps w:val="0"/>
          <w:color w:val="auto"/>
          <w:spacing w:val="0"/>
          <w:sz w:val="32"/>
          <w:szCs w:val="32"/>
          <w:highlight w:val="none"/>
          <w:shd w:val="clear" w:fill="FFFFFF"/>
        </w:rPr>
      </w:pPr>
      <w:r>
        <w:rPr>
          <w:rFonts w:hint="eastAsia" w:ascii="Times New Roman" w:hAnsi="Times New Roman" w:eastAsia="黑体" w:cs="黑体"/>
          <w:b w:val="0"/>
          <w:bCs w:val="0"/>
          <w:i w:val="0"/>
          <w:caps w:val="0"/>
          <w:color w:val="auto"/>
          <w:spacing w:val="0"/>
          <w:sz w:val="32"/>
          <w:szCs w:val="32"/>
          <w:highlight w:val="none"/>
          <w:shd w:val="clear" w:fill="FFFFFF"/>
        </w:rPr>
        <w:t>三、收到和处理政府信息公开申请情况</w:t>
      </w:r>
    </w:p>
    <w:tbl>
      <w:tblPr>
        <w:tblStyle w:val="6"/>
        <w:tblW w:w="91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54"/>
        <w:gridCol w:w="1650"/>
        <w:gridCol w:w="3229"/>
        <w:gridCol w:w="518"/>
        <w:gridCol w:w="518"/>
        <w:gridCol w:w="518"/>
        <w:gridCol w:w="518"/>
        <w:gridCol w:w="518"/>
        <w:gridCol w:w="518"/>
        <w:gridCol w:w="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5" w:hRule="atLeast"/>
          <w:jc w:val="center"/>
        </w:trPr>
        <w:tc>
          <w:tcPr>
            <w:tcW w:w="5533"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（本列数据的勾稽关系为：第一项加第二项之和， 等于第三项加第四项之和）</w:t>
            </w:r>
          </w:p>
        </w:tc>
        <w:tc>
          <w:tcPr>
            <w:tcW w:w="3632" w:type="dxa"/>
            <w:gridSpan w:val="7"/>
            <w:tcBorders>
              <w:top w:val="single" w:color="000000"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5" w:hRule="atLeast"/>
          <w:jc w:val="center"/>
        </w:trPr>
        <w:tc>
          <w:tcPr>
            <w:tcW w:w="5533"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518"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自然人</w:t>
            </w:r>
          </w:p>
        </w:tc>
        <w:tc>
          <w:tcPr>
            <w:tcW w:w="2590" w:type="dxa"/>
            <w:gridSpan w:val="5"/>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法人或其他组织</w:t>
            </w:r>
          </w:p>
        </w:tc>
        <w:tc>
          <w:tcPr>
            <w:tcW w:w="524"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25" w:hRule="atLeast"/>
          <w:jc w:val="center"/>
        </w:trPr>
        <w:tc>
          <w:tcPr>
            <w:tcW w:w="5533"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518"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商业 企业</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科研 机构</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社会公益组织</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法律 服务 机构</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其他</w:t>
            </w:r>
          </w:p>
        </w:tc>
        <w:tc>
          <w:tcPr>
            <w:tcW w:w="524"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0" w:hRule="atLeast"/>
          <w:jc w:val="center"/>
        </w:trPr>
        <w:tc>
          <w:tcPr>
            <w:tcW w:w="5533" w:type="dxa"/>
            <w:gridSpan w:val="3"/>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一、本年新收政府信息公开申请数量</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1</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0" w:hRule="atLeast"/>
          <w:jc w:val="center"/>
        </w:trPr>
        <w:tc>
          <w:tcPr>
            <w:tcW w:w="5533" w:type="dxa"/>
            <w:gridSpan w:val="3"/>
            <w:tcBorders>
              <w:top w:val="single" w:color="auto" w:sz="6" w:space="0"/>
              <w:left w:val="single" w:color="000000" w:sz="6" w:space="0"/>
              <w:bottom w:val="single" w:color="auto" w:sz="4"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二、上年结转政府信息公开申请数量</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239" w:leftChars="114" w:right="0" w:rightChars="0" w:firstLine="480" w:firstLineChars="20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 xml:space="preserve"> </w:t>
            </w:r>
            <w:r>
              <w:rPr>
                <w:rFonts w:hint="eastAsia" w:ascii="Times New Roman" w:hAnsi="Times New Roman" w:eastAsia="仿宋_GB2312" w:cs="仿宋_GB2312"/>
                <w:b w:val="0"/>
                <w:bCs w:val="0"/>
                <w:i w:val="0"/>
                <w:caps w:val="0"/>
                <w:color w:val="auto"/>
                <w:spacing w:val="0"/>
                <w:sz w:val="24"/>
                <w:szCs w:val="24"/>
                <w:highlight w:val="none"/>
                <w:lang w:eastAsia="zh-CN"/>
              </w:rPr>
              <w:t>三、</w:t>
            </w:r>
            <w:r>
              <w:rPr>
                <w:rFonts w:hint="eastAsia" w:ascii="Times New Roman" w:hAnsi="Times New Roman" w:eastAsia="仿宋_GB2312" w:cs="仿宋_GB2312"/>
                <w:b w:val="0"/>
                <w:bCs w:val="0"/>
                <w:i w:val="0"/>
                <w:caps w:val="0"/>
                <w:color w:val="auto"/>
                <w:spacing w:val="0"/>
                <w:sz w:val="24"/>
                <w:szCs w:val="24"/>
                <w:highlight w:val="none"/>
              </w:rPr>
              <w:t>本</w:t>
            </w:r>
            <w:r>
              <w:rPr>
                <w:rFonts w:hint="eastAsia" w:ascii="Times New Roman" w:hAnsi="Times New Roman" w:eastAsia="仿宋_GB2312" w:cs="仿宋_GB2312"/>
                <w:b w:val="0"/>
                <w:bCs w:val="0"/>
                <w:i w:val="0"/>
                <w:caps w:val="0"/>
                <w:color w:val="auto"/>
                <w:spacing w:val="0"/>
                <w:sz w:val="24"/>
                <w:szCs w:val="24"/>
                <w:highlight w:val="none"/>
                <w:lang w:val="en-US" w:eastAsia="zh-CN"/>
              </w:rPr>
              <w:t xml:space="preserve">  </w:t>
            </w:r>
            <w:r>
              <w:rPr>
                <w:rFonts w:hint="eastAsia" w:ascii="Times New Roman" w:hAnsi="Times New Roman" w:eastAsia="仿宋_GB2312" w:cs="仿宋_GB2312"/>
                <w:b w:val="0"/>
                <w:bCs w:val="0"/>
                <w:i w:val="0"/>
                <w:caps w:val="0"/>
                <w:color w:val="auto"/>
                <w:spacing w:val="0"/>
                <w:sz w:val="24"/>
                <w:szCs w:val="24"/>
                <w:highlight w:val="none"/>
              </w:rPr>
              <w:t>年度办理结果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960" w:firstLineChars="40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w:t>
            </w:r>
          </w:p>
        </w:tc>
        <w:tc>
          <w:tcPr>
            <w:tcW w:w="4879" w:type="dxa"/>
            <w:gridSpan w:val="2"/>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（一）予以公开</w:t>
            </w:r>
          </w:p>
        </w:tc>
        <w:tc>
          <w:tcPr>
            <w:tcW w:w="518"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1</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4879" w:type="dxa"/>
            <w:gridSpan w:val="2"/>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（二）部分公开</w:t>
            </w:r>
            <w:r>
              <w:rPr>
                <w:rFonts w:hint="eastAsia" w:ascii="Times New Roman" w:hAnsi="Times New Roman" w:eastAsia="仿宋_GB2312" w:cs="仿宋_GB2312"/>
                <w:b w:val="0"/>
                <w:bCs w:val="0"/>
                <w:i w:val="0"/>
                <w:caps w:val="0"/>
                <w:color w:val="auto"/>
                <w:spacing w:val="0"/>
                <w:sz w:val="24"/>
                <w:szCs w:val="24"/>
                <w:highlight w:val="none"/>
                <w:lang w:eastAsia="zh-CN"/>
              </w:rPr>
              <w:t>（</w:t>
            </w:r>
            <w:r>
              <w:rPr>
                <w:rFonts w:hint="eastAsia" w:ascii="Times New Roman" w:hAnsi="Times New Roman" w:eastAsia="仿宋_GB2312" w:cs="仿宋_GB2312"/>
                <w:b w:val="0"/>
                <w:bCs w:val="0"/>
                <w:i w:val="0"/>
                <w:caps w:val="0"/>
                <w:color w:val="auto"/>
                <w:spacing w:val="0"/>
                <w:sz w:val="24"/>
                <w:szCs w:val="24"/>
                <w:highlight w:val="none"/>
              </w:rPr>
              <w:t>区分处理的，只计这一情形，不计其他情形）</w:t>
            </w:r>
          </w:p>
        </w:tc>
        <w:tc>
          <w:tcPr>
            <w:tcW w:w="518"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（三）不予公开</w:t>
            </w: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1.属于国家秘密</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2.</w:t>
            </w:r>
            <w:r>
              <w:rPr>
                <w:rFonts w:hint="eastAsia" w:ascii="Times New Roman" w:hAnsi="Times New Roman" w:eastAsia="仿宋_GB2312" w:cs="仿宋_GB2312"/>
                <w:b w:val="0"/>
                <w:bCs w:val="0"/>
                <w:i w:val="0"/>
                <w:caps w:val="0"/>
                <w:color w:val="auto"/>
                <w:spacing w:val="0"/>
                <w:sz w:val="24"/>
                <w:szCs w:val="24"/>
                <w:highlight w:val="none"/>
                <w:lang w:val="en-US" w:eastAsia="zh-CN"/>
              </w:rPr>
              <w:t>其他法律行政法规</w:t>
            </w:r>
            <w:r>
              <w:rPr>
                <w:rFonts w:hint="eastAsia" w:ascii="Times New Roman" w:hAnsi="Times New Roman" w:eastAsia="仿宋_GB2312" w:cs="仿宋_GB2312"/>
                <w:b w:val="0"/>
                <w:bCs w:val="0"/>
                <w:i w:val="0"/>
                <w:caps w:val="0"/>
                <w:color w:val="auto"/>
                <w:spacing w:val="0"/>
                <w:sz w:val="24"/>
                <w:szCs w:val="24"/>
                <w:highlight w:val="none"/>
              </w:rPr>
              <w:t>禁止公开</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3.危及“三安全一稳定”</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4.保护第三方合法权益</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5.属于三类内部事务信息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6.属于四类过程性信息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7.属于行政执法案卷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8.属于行政查询事项</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（四）无法提供</w:t>
            </w: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1.本机关不掌握相关政府信息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2.没有现成信息需要另行制作</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lang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3.补正后申请内容仍不明确</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5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（五）不予处理</w:t>
            </w: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1.信访举报投诉类申请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5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2.重复申请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40"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3.要求提供公开出版物</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4.无正当理由大量反复申请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5.要求行政机关确认或重新出具已获取信息</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（六）其他处理</w:t>
            </w: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1、申请人无正当理由逾期不补正、行政机关不再处理其政府信息公开申请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5" w:hRule="atLeast"/>
          <w:jc w:val="center"/>
        </w:trPr>
        <w:tc>
          <w:tcPr>
            <w:tcW w:w="654" w:type="dxa"/>
            <w:vMerge w:val="continue"/>
            <w:tcBorders>
              <w:top w:val="single" w:color="auto" w:sz="4" w:space="0"/>
              <w:left w:val="single" w:color="auto" w:sz="4" w:space="0"/>
              <w:bottom w:val="single" w:color="auto" w:sz="4"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vMerge w:val="continue"/>
            <w:tcBorders>
              <w:top w:val="single" w:color="auto" w:sz="4" w:space="0"/>
              <w:left w:val="single" w:color="auto" w:sz="6"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p>
        </w:tc>
        <w:tc>
          <w:tcPr>
            <w:tcW w:w="3229" w:type="dxa"/>
            <w:tcBorders>
              <w:top w:val="single" w:color="auto" w:sz="6" w:space="0"/>
              <w:left w:val="single" w:color="auto" w:sz="4"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2、申请人逾期未按收费通知要求缴纳费用、行政机关不再处理其政府信息公开申请</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0" w:hRule="atLeast"/>
          <w:jc w:val="center"/>
        </w:trPr>
        <w:tc>
          <w:tcPr>
            <w:tcW w:w="654" w:type="dxa"/>
            <w:vMerge w:val="continue"/>
            <w:tcBorders>
              <w:top w:val="single" w:color="auto" w:sz="4" w:space="0"/>
              <w:left w:val="single" w:color="auto" w:sz="4" w:space="0"/>
              <w:bottom w:val="single" w:color="auto" w:sz="4"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p>
        </w:tc>
        <w:tc>
          <w:tcPr>
            <w:tcW w:w="1650" w:type="dxa"/>
            <w:vMerge w:val="continue"/>
            <w:tcBorders>
              <w:top w:val="single" w:color="auto" w:sz="4" w:space="0"/>
              <w:left w:val="single" w:color="auto" w:sz="6" w:space="0"/>
              <w:bottom w:val="single" w:color="auto" w:sz="4" w:space="0"/>
              <w:right w:val="single" w:color="auto" w:sz="4"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p>
        </w:tc>
        <w:tc>
          <w:tcPr>
            <w:tcW w:w="3229" w:type="dxa"/>
            <w:tcBorders>
              <w:top w:val="single" w:color="auto" w:sz="6" w:space="0"/>
              <w:left w:val="single" w:color="auto" w:sz="4" w:space="0"/>
              <w:bottom w:val="single" w:color="auto"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lang w:val="en-US" w:eastAsia="zh-CN"/>
              </w:rPr>
            </w:pPr>
            <w:r>
              <w:rPr>
                <w:rFonts w:hint="eastAsia" w:ascii="Times New Roman" w:hAnsi="Times New Roman" w:eastAsia="仿宋_GB2312" w:cs="仿宋_GB2312"/>
                <w:b w:val="0"/>
                <w:bCs w:val="0"/>
                <w:color w:val="auto"/>
                <w:sz w:val="24"/>
                <w:szCs w:val="24"/>
                <w:highlight w:val="none"/>
                <w:lang w:val="en-US" w:eastAsia="zh-CN"/>
              </w:rPr>
              <w:t>3、其他</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24"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0" w:hRule="atLeast"/>
          <w:jc w:val="center"/>
        </w:trPr>
        <w:tc>
          <w:tcPr>
            <w:tcW w:w="654" w:type="dxa"/>
            <w:vMerge w:val="continue"/>
            <w:tcBorders>
              <w:top w:val="single" w:color="auto" w:sz="4" w:space="0"/>
              <w:left w:val="single" w:color="auto" w:sz="4" w:space="0"/>
              <w:bottom w:val="single" w:color="auto"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960" w:firstLineChars="40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1650" w:type="dxa"/>
            <w:tcBorders>
              <w:top w:val="single" w:color="auto" w:sz="4" w:space="0"/>
              <w:left w:val="single" w:color="000000" w:sz="6" w:space="0"/>
              <w:bottom w:val="single" w:color="auto"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lang w:eastAsia="zh-CN"/>
              </w:rPr>
              <w:t>（</w:t>
            </w:r>
            <w:r>
              <w:rPr>
                <w:rFonts w:hint="eastAsia" w:ascii="Times New Roman" w:hAnsi="Times New Roman" w:eastAsia="仿宋_GB2312" w:cs="仿宋_GB2312"/>
                <w:b w:val="0"/>
                <w:bCs w:val="0"/>
                <w:i w:val="0"/>
                <w:caps w:val="0"/>
                <w:color w:val="auto"/>
                <w:spacing w:val="0"/>
                <w:sz w:val="24"/>
                <w:szCs w:val="24"/>
                <w:highlight w:val="none"/>
              </w:rPr>
              <w:t>七）总计</w:t>
            </w:r>
          </w:p>
        </w:tc>
        <w:tc>
          <w:tcPr>
            <w:tcW w:w="3229" w:type="dxa"/>
            <w:tcBorders>
              <w:top w:val="single" w:color="auto" w:sz="6" w:space="0"/>
              <w:left w:val="single" w:color="000000" w:sz="6" w:space="0"/>
              <w:bottom w:val="single" w:color="auto"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960" w:firstLineChars="40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1</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24"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5533" w:type="dxa"/>
            <w:gridSpan w:val="3"/>
            <w:tcBorders>
              <w:top w:val="single" w:color="auto" w:sz="6" w:space="0"/>
              <w:left w:val="single" w:color="000000" w:sz="6" w:space="0"/>
              <w:bottom w:val="single" w:color="auto"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四、结转下年度继续办理</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default"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18"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c>
          <w:tcPr>
            <w:tcW w:w="524" w:type="dxa"/>
            <w:tcBorders>
              <w:top w:val="single" w:color="auto" w:sz="6" w:space="0"/>
              <w:left w:val="single" w:color="auto" w:sz="6" w:space="0"/>
              <w:bottom w:val="single" w:color="auto"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i w:val="0"/>
                <w:caps w:val="0"/>
                <w:color w:val="auto"/>
                <w:spacing w:val="0"/>
                <w:sz w:val="24"/>
                <w:szCs w:val="24"/>
                <w:highlight w:val="none"/>
                <w:lang w:val="en-US" w:eastAsia="zh-CN"/>
              </w:rPr>
            </w:pPr>
            <w:r>
              <w:rPr>
                <w:rFonts w:hint="eastAsia" w:ascii="Times New Roman" w:hAnsi="Times New Roman" w:eastAsia="仿宋_GB2312" w:cs="仿宋_GB2312"/>
                <w:b w:val="0"/>
                <w:bCs w:val="0"/>
                <w:i w:val="0"/>
                <w:caps w:val="0"/>
                <w:color w:val="auto"/>
                <w:spacing w:val="0"/>
                <w:sz w:val="24"/>
                <w:szCs w:val="24"/>
                <w:highlight w:val="none"/>
                <w:lang w:val="en-US" w:eastAsia="zh-CN"/>
              </w:rPr>
              <w:t>0</w:t>
            </w:r>
          </w:p>
        </w:tc>
      </w:tr>
    </w:tbl>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Times New Roman" w:hAnsi="Times New Roman" w:eastAsia="黑体" w:cs="黑体"/>
          <w:b w:val="0"/>
          <w:bCs w:val="0"/>
          <w:i w:val="0"/>
          <w:caps w:val="0"/>
          <w:color w:val="auto"/>
          <w:spacing w:val="0"/>
          <w:sz w:val="32"/>
          <w:szCs w:val="32"/>
          <w:highlight w:val="none"/>
          <w:shd w:val="clear" w:fill="FFFFFF"/>
          <w:lang w:val="en-US" w:eastAsia="zh-CN"/>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Times New Roman" w:hAnsi="Times New Roman" w:eastAsia="黑体" w:cs="黑体"/>
          <w:b w:val="0"/>
          <w:bCs w:val="0"/>
          <w:i w:val="0"/>
          <w:caps w:val="0"/>
          <w:color w:val="auto"/>
          <w:spacing w:val="0"/>
          <w:sz w:val="32"/>
          <w:szCs w:val="32"/>
          <w:highlight w:val="none"/>
          <w:shd w:val="clear" w:fill="FFFFFF"/>
        </w:rPr>
      </w:pPr>
      <w:r>
        <w:rPr>
          <w:rFonts w:hint="eastAsia" w:ascii="Times New Roman" w:hAnsi="Times New Roman" w:eastAsia="黑体" w:cs="黑体"/>
          <w:b w:val="0"/>
          <w:bCs w:val="0"/>
          <w:i w:val="0"/>
          <w:caps w:val="0"/>
          <w:color w:val="auto"/>
          <w:spacing w:val="0"/>
          <w:sz w:val="32"/>
          <w:szCs w:val="32"/>
          <w:highlight w:val="none"/>
          <w:shd w:val="clear" w:fill="FFFFFF"/>
          <w:lang w:val="en-US" w:eastAsia="zh-CN"/>
        </w:rPr>
        <w:t>四、</w:t>
      </w:r>
      <w:r>
        <w:rPr>
          <w:rFonts w:hint="eastAsia" w:ascii="Times New Roman" w:hAnsi="Times New Roman" w:eastAsia="黑体" w:cs="黑体"/>
          <w:b w:val="0"/>
          <w:bCs w:val="0"/>
          <w:i w:val="0"/>
          <w:caps w:val="0"/>
          <w:color w:val="auto"/>
          <w:spacing w:val="0"/>
          <w:sz w:val="32"/>
          <w:szCs w:val="32"/>
          <w:highlight w:val="none"/>
          <w:shd w:val="clear" w:fill="FFFFFF"/>
        </w:rPr>
        <w:t>政府信息公开行政复议、行政诉讼情况</w:t>
      </w:r>
    </w:p>
    <w:tbl>
      <w:tblPr>
        <w:tblStyle w:val="6"/>
        <w:tblW w:w="828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52"/>
        <w:gridCol w:w="552"/>
        <w:gridCol w:w="552"/>
        <w:gridCol w:w="552"/>
        <w:gridCol w:w="552"/>
        <w:gridCol w:w="552"/>
        <w:gridCol w:w="552"/>
        <w:gridCol w:w="552"/>
        <w:gridCol w:w="552"/>
        <w:gridCol w:w="1"/>
        <w:gridCol w:w="551"/>
        <w:gridCol w:w="552"/>
        <w:gridCol w:w="552"/>
        <w:gridCol w:w="552"/>
        <w:gridCol w:w="552"/>
        <w:gridCol w:w="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330" w:hRule="atLeast"/>
          <w:jc w:val="center"/>
        </w:trPr>
        <w:tc>
          <w:tcPr>
            <w:tcW w:w="2760"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行政复议</w:t>
            </w:r>
          </w:p>
        </w:tc>
        <w:tc>
          <w:tcPr>
            <w:tcW w:w="5523" w:type="dxa"/>
            <w:gridSpan w:val="11"/>
            <w:tcBorders>
              <w:top w:val="single" w:color="000000"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jc w:val="center"/>
        </w:trPr>
        <w:tc>
          <w:tcPr>
            <w:tcW w:w="552" w:type="dxa"/>
            <w:vMerge w:val="restart"/>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结果维持</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结果 纠正</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其他 结果</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尚未 审结</w:t>
            </w:r>
          </w:p>
        </w:tc>
        <w:tc>
          <w:tcPr>
            <w:tcW w:w="552" w:type="dxa"/>
            <w:vMerge w:val="restart"/>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bottom"/>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both"/>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总计</w:t>
            </w:r>
          </w:p>
        </w:tc>
        <w:tc>
          <w:tcPr>
            <w:tcW w:w="2760" w:type="dxa"/>
            <w:gridSpan w:val="6"/>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未经复议直接起诉</w:t>
            </w:r>
          </w:p>
        </w:tc>
        <w:tc>
          <w:tcPr>
            <w:tcW w:w="2763" w:type="dxa"/>
            <w:gridSpan w:val="5"/>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552" w:type="dxa"/>
            <w:vMerge w:val="continue"/>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552" w:type="dxa"/>
            <w:vMerge w:val="continue"/>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bottom"/>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i w:val="0"/>
                <w:caps w:val="0"/>
                <w:color w:val="auto"/>
                <w:spacing w:val="0"/>
                <w:sz w:val="24"/>
                <w:szCs w:val="24"/>
                <w:highlight w:val="none"/>
              </w:rPr>
            </w:pP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结果 维持</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结果 纠正</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其他 结果</w:t>
            </w:r>
          </w:p>
        </w:tc>
        <w:tc>
          <w:tcPr>
            <w:tcW w:w="553"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尚未 审结</w:t>
            </w:r>
          </w:p>
        </w:tc>
        <w:tc>
          <w:tcPr>
            <w:tcW w:w="551"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总计</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结果 维持</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结果 纠正</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left"/>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其他 结果</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尚未 审结</w:t>
            </w:r>
          </w:p>
        </w:tc>
        <w:tc>
          <w:tcPr>
            <w:tcW w:w="555"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jc w:val="center"/>
        </w:trPr>
        <w:tc>
          <w:tcPr>
            <w:tcW w:w="552" w:type="dxa"/>
            <w:tcBorders>
              <w:top w:val="single" w:color="auto" w:sz="6" w:space="0"/>
              <w:left w:val="single" w:color="000000"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gridSpan w:val="2"/>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2"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c>
          <w:tcPr>
            <w:tcW w:w="555" w:type="dxa"/>
            <w:tcBorders>
              <w:top w:val="single" w:color="auto" w:sz="6" w:space="0"/>
              <w:left w:val="single" w:color="auto" w:sz="6" w:space="0"/>
              <w:bottom w:val="single" w:color="000000" w:sz="6" w:space="0"/>
              <w:right w:val="single" w:color="000000" w:sz="6" w:space="0"/>
            </w:tcBorders>
            <w:shd w:val="clear" w:color="auto" w:fill="FFFFFF"/>
            <w:tcMar>
              <w:top w:w="0" w:type="dxa"/>
              <w:bottom w:w="0" w:type="dxa"/>
            </w:tcMar>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color w:val="auto"/>
                <w:sz w:val="24"/>
                <w:szCs w:val="24"/>
                <w:highlight w:val="none"/>
              </w:rPr>
            </w:pPr>
            <w:r>
              <w:rPr>
                <w:rFonts w:hint="eastAsia" w:ascii="Times New Roman" w:hAnsi="Times New Roman" w:eastAsia="仿宋_GB2312" w:cs="仿宋_GB2312"/>
                <w:b w:val="0"/>
                <w:bCs w:val="0"/>
                <w:i w:val="0"/>
                <w:caps w:val="0"/>
                <w:color w:val="auto"/>
                <w:spacing w:val="0"/>
                <w:sz w:val="24"/>
                <w:szCs w:val="24"/>
                <w:highlight w:val="none"/>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outlineLvl w:val="9"/>
        <w:rPr>
          <w:rFonts w:hint="eastAsia" w:ascii="黑体" w:hAnsi="黑体" w:eastAsia="黑体" w:cs="黑体"/>
          <w:b w:val="0"/>
          <w:bCs w:val="0"/>
          <w:color w:val="auto"/>
          <w:sz w:val="32"/>
          <w:szCs w:val="32"/>
          <w:highlight w:val="none"/>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楷体_GB2312" w:hAnsi="楷体_GB2312" w:eastAsia="楷体_GB2312" w:cs="楷体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（一）存在的主要问题</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val="en-US" w:eastAsia="zh-CN"/>
        </w:rPr>
        <w:t>一是对政府信息公开的认识有待进一步深化；二是政务信息公开的力量有待进一步加强；三是政务信息公开的内容有待进一步完善。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楷体" w:cs="楷体"/>
          <w:b w:val="0"/>
          <w:bCs w:val="0"/>
          <w:color w:val="auto"/>
          <w:sz w:val="32"/>
          <w:szCs w:val="32"/>
          <w:highlight w:val="none"/>
          <w:lang w:val="en-US" w:eastAsia="zh-CN"/>
        </w:rPr>
        <w:t>（二）改进情况</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val="en-US" w:eastAsia="zh-CN"/>
        </w:rPr>
        <w:t>一是提高思想认识，进一步深化对政府信息公开的认识，把政府信息公开工作摆到突出位置，扎实做好政府信息公开相关工作。</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val="en-US" w:eastAsia="zh-CN"/>
        </w:rPr>
        <w:t>二是夯实工作力量，加强对信息人员的培训，着力提高各科室信息公开意识。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val="en-US" w:eastAsia="zh-CN"/>
        </w:rPr>
        <w:t>三是进一步梳理本单位所掌握的政府信息，紧扣公众所关心关注的热点焦点问题和工作，充实完善公开内容，定期维护，及时回应社会关切。</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其他需要报告的事项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（一）收费情况说明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2022年度，在区财政局办理政府信息公开申请过程中，依据《政府信息公开信息处理费管理办法》未收取任何信息处理费。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（二）2022</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年度人大代表建议和政协委员提案办理情况。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1、本级人大代表和政协委员提案办理情况：</w:t>
      </w: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2022</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年度我单位共收到人大代表建议</w:t>
      </w: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2</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件，内容涉及到关于支持产业链集团是发展、夯实市场支持政策、关于在淄博新区商务金融中心打造金融聚集区等建议。政协委员提案</w:t>
      </w: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6</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件，内容涉及到关于政府如何扶持中小企业转型发展、关于后疫情时代“零接触”招投标同一平台等建议。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2、市级人大代表和政协委员建议提案办理情况：</w:t>
      </w:r>
      <w:r>
        <w:rPr>
          <w:rFonts w:hint="eastAsia" w:ascii="Times New Roman" w:hAnsi="Times New Roman" w:eastAsia="仿宋_GB2312" w:cs="仿宋_GB2312"/>
          <w:b w:val="0"/>
          <w:bCs w:val="0"/>
          <w:i w:val="0"/>
          <w:caps w:val="0"/>
          <w:color w:val="auto"/>
          <w:spacing w:val="0"/>
          <w:sz w:val="32"/>
          <w:szCs w:val="32"/>
          <w:highlight w:val="none"/>
          <w:shd w:val="clear" w:fill="FFFFFF"/>
          <w:lang w:val="en-US" w:eastAsia="zh-CN"/>
        </w:rPr>
        <w:t>2022</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年度我单位未收到市级人大代表和政协委员建议提案。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（三）《2022年淄博市政务公开工作方案》落实情况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一是加强优化营商环境信息公开。由庞金光同志牵头，综合科负责动态调整行政事业性收费、政府性基金收费目录清单，做到定期更新、在线查询、清单之外无收费，进行每月公开，动态调整。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二是紧扣任务落实强化保障措施。由庞金光同志牵头，行政政法科负责按照区直部门工作开展情况，将相关经费纳入年度预算，确保政策解读、第三方评估、专栏建设、依申请公开等工作正常开展。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三是指导督促各部门单位依法公开预决算信息。由董亮同志牵头，预算科负责指导部门预算单位根据《张店区预算公开实施方案》（张办发〔2017〕34号）文件规定，按照统一规范格式，按时在区政府网站和淄博市预决算公开平台将区级部门预算和“三公”经费预算进行“双公开”。按时公开政府预算及政府调整预算信息，范围涵盖一般公共预算、政府性基金预算、国有资本经营预算和社会保险基金预算，包括经本级人民代表大会及其常务委员会批准的预算、预算调整、预算执行的报告及报表，以及本级政府财政转移支付安排、执行情况和举借债务情况。政府预算支出应当全部公开到功能分类项级科目，按规定公开到经济分类科目。税收返还、一般性转移支付和专项转移支付情况应当分地区公开。专项转移支付预算全部按具体项目公开。举借债务的情况应当包括经本级人民代表大会及其常务委员会批准的本地债务限额、债务余额和债务发行、使用、偿还等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四是指导督促各有关业务部门公开专项资金使用管理信息。由董亮同志牵头，预算科负责与业务部门制定印发后，及时通过区政府网站进行公开。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五是监督、检查全区政府采购信息公开情况，及时公开监管处罚信息。由边纯才同志牵头，政府采购监督管理办公室负责督促采购人、采购代理机构按照政府采购法律法规等规定的程序和时间发布政府采购信息，并对信息发布真实性、合法性和及时性负责，并及时公开监管处罚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right="0" w:rightChars="0"/>
        <w:textAlignment w:val="auto"/>
        <w:outlineLvl w:val="9"/>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（四）</w:t>
      </w:r>
      <w:r>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t>相关数据统计说明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t>本报告所列数据统计期限自202</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2</w:t>
      </w:r>
      <w:r>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t>年1月1日起，到202</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2</w:t>
      </w:r>
      <w:r>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t>年12月31日止。数据可能因四舍五入原因与数据直接相加之和存在尾数差异。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t>（</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五</w:t>
      </w:r>
      <w:r>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t>）本行政机关认为需要报告的其他事项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t>（</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六</w:t>
      </w:r>
      <w:r>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t>）其他有关文件专门要求通过政府信息公开工作年度报告予以报告的事项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t>无</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粗黑宋简体">
    <w:altName w:val="宋体"/>
    <w:panose1 w:val="02000000000000000000"/>
    <w:charset w:val="86"/>
    <w:family w:val="auto"/>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default"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default" w:ascii="Times New Roman" w:hAnsi="Times New Roman" w:cs="Times New Roman" w:eastAsiaTheme="minorEastAsia"/>
                        <w:sz w:val="28"/>
                        <w:szCs w:val="28"/>
                        <w:lang w:eastAsia="zh-CN"/>
                      </w:rPr>
                    </w:pP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eastAsia" w:ascii="Times New Roman" w:hAnsi="Times New Roman" w:cs="Times New Roman"/>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87A93E"/>
    <w:multiLevelType w:val="singleLevel"/>
    <w:tmpl w:val="7887A93E"/>
    <w:lvl w:ilvl="0" w:tentative="0">
      <w:start w:val="5"/>
      <w:numFmt w:val="chineseCounting"/>
      <w:suff w:val="nothing"/>
      <w:lvlText w:val="%1、"/>
      <w:lvlJc w:val="left"/>
      <w:rPr>
        <w:rFonts w:hint="eastAsia"/>
      </w:rPr>
    </w:lvl>
  </w:abstractNum>
  <w:abstractNum w:abstractNumId="1">
    <w:nsid w:val="7B52BFF3"/>
    <w:multiLevelType w:val="singleLevel"/>
    <w:tmpl w:val="7B52BFF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2MTZjMjcxMTdkNzJkMjE5ZTUxNDExMmY0MGRmZDUifQ=="/>
  </w:docVars>
  <w:rsids>
    <w:rsidRoot w:val="00000000"/>
    <w:rsid w:val="00140B04"/>
    <w:rsid w:val="00C53EBD"/>
    <w:rsid w:val="024A3CF1"/>
    <w:rsid w:val="033B4303"/>
    <w:rsid w:val="0373609C"/>
    <w:rsid w:val="05CD782E"/>
    <w:rsid w:val="06B91931"/>
    <w:rsid w:val="08156E24"/>
    <w:rsid w:val="08AA42DD"/>
    <w:rsid w:val="09FF7F7B"/>
    <w:rsid w:val="0AAA4D73"/>
    <w:rsid w:val="0AC64038"/>
    <w:rsid w:val="0E8E6093"/>
    <w:rsid w:val="0FDF5773"/>
    <w:rsid w:val="11D405D8"/>
    <w:rsid w:val="14BF294E"/>
    <w:rsid w:val="177E4DE4"/>
    <w:rsid w:val="17E4389C"/>
    <w:rsid w:val="187E6F1B"/>
    <w:rsid w:val="199E3517"/>
    <w:rsid w:val="1A4268EB"/>
    <w:rsid w:val="1CD43FC7"/>
    <w:rsid w:val="1D2050E7"/>
    <w:rsid w:val="22172ADD"/>
    <w:rsid w:val="250725DB"/>
    <w:rsid w:val="26AF66A7"/>
    <w:rsid w:val="2A3C60A6"/>
    <w:rsid w:val="2BD55A4D"/>
    <w:rsid w:val="31E24E67"/>
    <w:rsid w:val="324556A5"/>
    <w:rsid w:val="331C6002"/>
    <w:rsid w:val="335E7DE4"/>
    <w:rsid w:val="344B000C"/>
    <w:rsid w:val="398D114A"/>
    <w:rsid w:val="3B291E82"/>
    <w:rsid w:val="416B11BC"/>
    <w:rsid w:val="420635FC"/>
    <w:rsid w:val="43335D35"/>
    <w:rsid w:val="435644D3"/>
    <w:rsid w:val="45915B79"/>
    <w:rsid w:val="471A7DE7"/>
    <w:rsid w:val="47EF51F5"/>
    <w:rsid w:val="49D44071"/>
    <w:rsid w:val="4A7632D0"/>
    <w:rsid w:val="4BC72413"/>
    <w:rsid w:val="4EA21F7D"/>
    <w:rsid w:val="4F1D46F9"/>
    <w:rsid w:val="4F5A7FC1"/>
    <w:rsid w:val="50FC2383"/>
    <w:rsid w:val="517758CF"/>
    <w:rsid w:val="51D159BC"/>
    <w:rsid w:val="52C7359F"/>
    <w:rsid w:val="534960EF"/>
    <w:rsid w:val="53975D81"/>
    <w:rsid w:val="552F4784"/>
    <w:rsid w:val="555E6C8F"/>
    <w:rsid w:val="58BD2578"/>
    <w:rsid w:val="597E09E7"/>
    <w:rsid w:val="5A1350A5"/>
    <w:rsid w:val="5BC46E87"/>
    <w:rsid w:val="5C6F05DD"/>
    <w:rsid w:val="5C9307DF"/>
    <w:rsid w:val="5D461C04"/>
    <w:rsid w:val="62D85976"/>
    <w:rsid w:val="66BA075A"/>
    <w:rsid w:val="677071AE"/>
    <w:rsid w:val="68030E78"/>
    <w:rsid w:val="68297D70"/>
    <w:rsid w:val="69457C9C"/>
    <w:rsid w:val="6A58655C"/>
    <w:rsid w:val="6B08092E"/>
    <w:rsid w:val="6B0D6ED7"/>
    <w:rsid w:val="6C4D0F79"/>
    <w:rsid w:val="6C7F569F"/>
    <w:rsid w:val="6E077B29"/>
    <w:rsid w:val="6F9B2FA6"/>
    <w:rsid w:val="72FC49FE"/>
    <w:rsid w:val="73520AC2"/>
    <w:rsid w:val="7BCF76F6"/>
    <w:rsid w:val="7CF26429"/>
    <w:rsid w:val="7D2C3F04"/>
    <w:rsid w:val="7D9C2769"/>
    <w:rsid w:val="7EAC62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3112</Words>
  <Characters>3248</Characters>
  <Lines>0</Lines>
  <Paragraphs>0</Paragraphs>
  <TotalTime>8</TotalTime>
  <ScaleCrop>false</ScaleCrop>
  <LinksUpToDate>false</LinksUpToDate>
  <CharactersWithSpaces>3267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Administrator</cp:lastModifiedBy>
  <cp:lastPrinted>2023-01-29T01:15:00Z</cp:lastPrinted>
  <dcterms:modified xsi:type="dcterms:W3CDTF">2023-01-29T06:22:59Z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2A1CEA53D48A4806AD61CECD7874529E</vt:lpwstr>
  </property>
</Properties>
</file>