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exact"/>
        <w:jc w:val="center"/>
        <w:textAlignment w:val="auto"/>
        <w:rPr>
          <w:rFonts w:hint="eastAsia" w:ascii="方正小标宋_GBK" w:hAnsi="方正小标宋_GBK" w:eastAsia="方正小标宋_GBK" w:cs="方正小标宋_GBK"/>
          <w:color w:val="auto"/>
          <w:kern w:val="0"/>
          <w:sz w:val="44"/>
          <w:szCs w:val="44"/>
        </w:rPr>
      </w:pPr>
      <w:r>
        <w:rPr>
          <w:rFonts w:ascii="宋体" w:hAnsi="宋体" w:eastAsia="宋体" w:cs="宋体"/>
          <w:color w:val="auto"/>
          <w:kern w:val="0"/>
          <w:sz w:val="45"/>
          <w:szCs w:val="45"/>
        </w:rPr>
        <w:t> </w:t>
      </w:r>
      <w:r>
        <w:rPr>
          <w:rFonts w:hint="eastAsia" w:ascii="方正小标宋_GBK" w:hAnsi="方正小标宋_GBK" w:eastAsia="方正小标宋_GBK" w:cs="方正小标宋_GBK"/>
          <w:color w:val="auto"/>
          <w:kern w:val="0"/>
          <w:sz w:val="44"/>
          <w:szCs w:val="44"/>
        </w:rPr>
        <w:t>张店区</w:t>
      </w:r>
      <w:r>
        <w:rPr>
          <w:rFonts w:hint="eastAsia" w:ascii="方正小标宋_GBK" w:hAnsi="方正小标宋_GBK" w:eastAsia="方正小标宋_GBK" w:cs="方正小标宋_GBK"/>
          <w:color w:val="auto"/>
          <w:kern w:val="0"/>
          <w:sz w:val="44"/>
          <w:szCs w:val="44"/>
          <w:lang w:eastAsia="zh-CN"/>
        </w:rPr>
        <w:t>车站街道办事处</w:t>
      </w:r>
      <w:r>
        <w:rPr>
          <w:rFonts w:hint="eastAsia" w:ascii="方正小标宋_GBK" w:hAnsi="方正小标宋_GBK" w:eastAsia="方正小标宋_GBK" w:cs="方正小标宋_GBK"/>
          <w:color w:val="auto"/>
          <w:kern w:val="0"/>
          <w:sz w:val="44"/>
          <w:szCs w:val="44"/>
        </w:rPr>
        <w:t>2020年政府信息公开年报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eastAsia" w:ascii="仿宋_GB2312" w:hAnsi="宋体" w:eastAsia="仿宋_GB2312" w:cs="宋体"/>
          <w:color w:val="auto"/>
          <w:kern w:val="0"/>
          <w:sz w:val="32"/>
          <w:szCs w:val="32"/>
          <w:shd w:val="clear" w:color="auto" w:fill="FFFFFF"/>
        </w:rPr>
      </w:pPr>
      <w:r>
        <w:rPr>
          <w:rFonts w:hint="eastAsia" w:ascii="仿宋_GB2312" w:hAnsi="宋体" w:eastAsia="仿宋_GB2312" w:cs="宋体"/>
          <w:color w:val="auto"/>
          <w:kern w:val="0"/>
          <w:sz w:val="32"/>
          <w:szCs w:val="32"/>
          <w:shd w:val="clear" w:color="auto" w:fill="FFFFFF"/>
        </w:rPr>
        <w:t>2020年，在区委、区政府的正确领导下，</w:t>
      </w:r>
      <w:r>
        <w:rPr>
          <w:rFonts w:hint="eastAsia" w:ascii="仿宋_GB2312" w:hAnsi="宋体" w:eastAsia="仿宋_GB2312" w:cs="宋体"/>
          <w:color w:val="auto"/>
          <w:kern w:val="0"/>
          <w:sz w:val="32"/>
          <w:szCs w:val="32"/>
          <w:shd w:val="clear" w:color="auto" w:fill="FFFFFF"/>
          <w:lang w:eastAsia="zh-CN"/>
        </w:rPr>
        <w:t>车站街道党工</w:t>
      </w:r>
      <w:r>
        <w:rPr>
          <w:rFonts w:hint="eastAsia" w:ascii="仿宋_GB2312" w:hAnsi="宋体" w:eastAsia="仿宋_GB2312" w:cs="宋体"/>
          <w:color w:val="auto"/>
          <w:kern w:val="0"/>
          <w:sz w:val="32"/>
          <w:szCs w:val="32"/>
          <w:shd w:val="clear" w:color="auto" w:fill="FFFFFF"/>
        </w:rPr>
        <w:t>委、</w:t>
      </w:r>
      <w:r>
        <w:rPr>
          <w:rFonts w:hint="eastAsia" w:ascii="仿宋_GB2312" w:hAnsi="宋体" w:eastAsia="仿宋_GB2312" w:cs="宋体"/>
          <w:color w:val="auto"/>
          <w:kern w:val="0"/>
          <w:sz w:val="32"/>
          <w:szCs w:val="32"/>
          <w:shd w:val="clear" w:color="auto" w:fill="FFFFFF"/>
          <w:lang w:eastAsia="zh-CN"/>
        </w:rPr>
        <w:t>办事处</w:t>
      </w:r>
      <w:r>
        <w:rPr>
          <w:rFonts w:hint="eastAsia" w:ascii="仿宋_GB2312" w:hAnsi="宋体" w:eastAsia="仿宋_GB2312" w:cs="宋体"/>
          <w:color w:val="auto"/>
          <w:kern w:val="0"/>
          <w:sz w:val="32"/>
          <w:szCs w:val="32"/>
          <w:shd w:val="clear" w:color="auto" w:fill="FFFFFF"/>
        </w:rPr>
        <w:t>高度重视政府信息公开工作，坚持以习近平新时代中国特色社会主义思想和党的十九大及十九届二中、三中、四中、五中全会精神为指导，</w:t>
      </w:r>
      <w:r>
        <w:rPr>
          <w:rFonts w:hint="eastAsia" w:ascii="仿宋_GB2312" w:hAnsi="宋体" w:eastAsia="仿宋_GB2312" w:cs="宋体"/>
          <w:color w:val="auto"/>
          <w:kern w:val="0"/>
          <w:sz w:val="32"/>
          <w:szCs w:val="32"/>
        </w:rPr>
        <w:t>紧密结合自身工作实际，按照公开、公正、规范、高效、便民、廉政、勤政的基本原则，认真履行工作职责，进一步深化政府信息公开内容，确保我</w:t>
      </w:r>
      <w:r>
        <w:rPr>
          <w:rFonts w:hint="eastAsia" w:ascii="仿宋_GB2312" w:hAnsi="宋体" w:eastAsia="仿宋_GB2312" w:cs="宋体"/>
          <w:color w:val="auto"/>
          <w:kern w:val="0"/>
          <w:sz w:val="32"/>
          <w:szCs w:val="32"/>
          <w:lang w:eastAsia="zh-CN"/>
        </w:rPr>
        <w:t>办</w:t>
      </w:r>
      <w:r>
        <w:rPr>
          <w:rFonts w:hint="eastAsia" w:ascii="仿宋_GB2312" w:hAnsi="宋体" w:eastAsia="仿宋_GB2312" w:cs="宋体"/>
          <w:color w:val="auto"/>
          <w:kern w:val="0"/>
          <w:sz w:val="32"/>
          <w:szCs w:val="32"/>
        </w:rPr>
        <w:t>政府信息公开工作扎实有效开展。按照《中华人民共和国政府信息公开条例》、《国务院办公厅关于实施中华人民共和国政府信息公开条例若干问题的意见》和省市区有关文件的规定和要求，</w:t>
      </w:r>
      <w:r>
        <w:rPr>
          <w:rFonts w:hint="eastAsia" w:ascii="仿宋_GB2312" w:hAnsi="宋体" w:eastAsia="仿宋_GB2312" w:cs="宋体"/>
          <w:color w:val="auto"/>
          <w:kern w:val="0"/>
          <w:sz w:val="32"/>
          <w:szCs w:val="32"/>
          <w:shd w:val="clear" w:color="auto" w:fill="FFFFFF"/>
        </w:rPr>
        <w:t>深入推进政府信息公开工作，本着“规范、明了、方便、实用”的原则，坚持把政府信息公开作为加强党风廉政建设、提高工作效能的重要举措，坚持以信息公开取信于民，突出推进重点领域政府信息公开和政府决策公开，不断创新政府信息公开载体形式，稳步推进了政府信息公开工作的扎实有效开展。</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exact"/>
        <w:ind w:firstLine="640" w:firstLineChars="200"/>
        <w:jc w:val="both"/>
        <w:textAlignment w:val="auto"/>
        <w:rPr>
          <w:rFonts w:hint="eastAsia" w:ascii="仿宋_GB2312" w:hAnsi="宋体" w:eastAsia="仿宋_GB2312" w:cs="宋体"/>
          <w:color w:val="auto"/>
          <w:kern w:val="0"/>
          <w:sz w:val="32"/>
          <w:szCs w:val="32"/>
          <w:shd w:val="clear" w:color="auto" w:fill="FFFFFF"/>
        </w:rPr>
      </w:pPr>
      <w:r>
        <w:rPr>
          <w:rFonts w:hint="eastAsia" w:ascii="黑体" w:hAnsi="黑体" w:eastAsia="黑体" w:cs="宋体"/>
          <w:color w:val="auto"/>
          <w:kern w:val="0"/>
          <w:sz w:val="32"/>
          <w:szCs w:val="32"/>
        </w:rPr>
        <w:t>一、总体情况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default" w:ascii="仿宋_GB2312" w:hAnsi="宋体" w:eastAsia="仿宋_GB2312" w:cs="宋体"/>
          <w:color w:val="auto"/>
          <w:kern w:val="0"/>
          <w:sz w:val="32"/>
          <w:szCs w:val="32"/>
        </w:rPr>
      </w:pPr>
      <w:r>
        <w:rPr>
          <w:rFonts w:hint="default" w:ascii="仿宋_GB2312" w:hAnsi="宋体" w:eastAsia="仿宋_GB2312" w:cs="宋体"/>
          <w:color w:val="auto"/>
          <w:kern w:val="0"/>
          <w:sz w:val="32"/>
          <w:szCs w:val="32"/>
        </w:rPr>
        <w:t>本报告是根据《中华人民共和国政府信息公开条例》（以下简称《条例》）要求，由车站街道办事处编制的</w:t>
      </w:r>
      <w:r>
        <w:rPr>
          <w:rFonts w:hint="eastAsia" w:ascii="仿宋_GB2312" w:hAnsi="宋体" w:eastAsia="仿宋_GB2312" w:cs="宋体"/>
          <w:color w:val="auto"/>
          <w:kern w:val="0"/>
          <w:sz w:val="32"/>
          <w:szCs w:val="32"/>
          <w:lang w:val="en-US" w:eastAsia="zh-CN"/>
        </w:rPr>
        <w:t>2020</w:t>
      </w:r>
      <w:r>
        <w:rPr>
          <w:rFonts w:hint="default" w:ascii="仿宋_GB2312" w:hAnsi="宋体" w:eastAsia="仿宋_GB2312" w:cs="宋体"/>
          <w:color w:val="auto"/>
          <w:kern w:val="0"/>
          <w:sz w:val="32"/>
          <w:szCs w:val="32"/>
        </w:rPr>
        <w:t>年度政府信息公开年度报告。本报告由总体情况、主动公开政府信息情况、收到和处理政府信息公开申请情况、政府信息公开行政复议、行政诉讼情况、存在的主要问题及改进情况、其他需要报告的事项组成。所列数据的统计期限是20</w:t>
      </w:r>
      <w:r>
        <w:rPr>
          <w:rFonts w:hint="eastAsia" w:ascii="仿宋_GB2312" w:hAnsi="宋体" w:eastAsia="仿宋_GB2312" w:cs="宋体"/>
          <w:color w:val="auto"/>
          <w:kern w:val="0"/>
          <w:sz w:val="32"/>
          <w:szCs w:val="32"/>
          <w:lang w:val="en-US" w:eastAsia="zh-CN"/>
        </w:rPr>
        <w:t>20</w:t>
      </w:r>
      <w:r>
        <w:rPr>
          <w:rFonts w:hint="default" w:ascii="仿宋_GB2312" w:hAnsi="宋体" w:eastAsia="仿宋_GB2312" w:cs="宋体"/>
          <w:color w:val="auto"/>
          <w:kern w:val="0"/>
          <w:sz w:val="32"/>
          <w:szCs w:val="32"/>
        </w:rPr>
        <w:t>年1月1日至20</w:t>
      </w:r>
      <w:r>
        <w:rPr>
          <w:rFonts w:hint="eastAsia" w:ascii="仿宋_GB2312" w:hAnsi="宋体" w:eastAsia="仿宋_GB2312" w:cs="宋体"/>
          <w:color w:val="auto"/>
          <w:kern w:val="0"/>
          <w:sz w:val="32"/>
          <w:szCs w:val="32"/>
          <w:lang w:val="en-US" w:eastAsia="zh-CN"/>
        </w:rPr>
        <w:t>20</w:t>
      </w:r>
      <w:r>
        <w:rPr>
          <w:rFonts w:hint="default" w:ascii="仿宋_GB2312" w:hAnsi="宋体" w:eastAsia="仿宋_GB2312" w:cs="宋体"/>
          <w:color w:val="auto"/>
          <w:kern w:val="0"/>
          <w:sz w:val="32"/>
          <w:szCs w:val="32"/>
        </w:rPr>
        <w:t>年12月31日。本报告电子版可以在淄博市张店区人民政府门户网站查阅或下载（网址：http://www.zhangdian.gov.cn/gongkai/site_zdqczjdbs</w:t>
      </w:r>
      <w:r>
        <w:rPr>
          <w:rFonts w:hint="eastAsia" w:ascii="仿宋_GB2312" w:eastAsia="仿宋_GB2312" w:cs="宋体"/>
          <w:color w:val="auto"/>
          <w:kern w:val="0"/>
          <w:sz w:val="32"/>
          <w:szCs w:val="32"/>
          <w:lang w:val="en-US" w:eastAsia="zh-CN"/>
        </w:rPr>
        <w:t>c</w:t>
      </w:r>
      <w:r>
        <w:rPr>
          <w:rFonts w:hint="default" w:ascii="仿宋_GB2312" w:hAnsi="宋体" w:eastAsia="仿宋_GB2312" w:cs="宋体"/>
          <w:color w:val="auto"/>
          <w:kern w:val="0"/>
          <w:sz w:val="32"/>
          <w:szCs w:val="32"/>
        </w:rPr>
        <w:t>）。如对报告内容有疑问，请与张店区车站街道办事处党政办公室联系（地址：张店区王舍路1号；邮编：255000；电话：0533-2711191；传真：0533-2711191。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（一）2020年政务公开工作要点落实情况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default" w:ascii="仿宋_GB2312" w:hAnsi="宋体" w:eastAsia="仿宋_GB2312" w:cs="宋体"/>
          <w:color w:val="auto"/>
          <w:kern w:val="0"/>
          <w:sz w:val="32"/>
          <w:szCs w:val="32"/>
        </w:rPr>
      </w:pPr>
      <w:r>
        <w:rPr>
          <w:rFonts w:hint="eastAsia" w:ascii="仿宋_GB2312" w:eastAsia="仿宋_GB2312" w:cs="宋体"/>
          <w:color w:val="auto"/>
          <w:kern w:val="0"/>
          <w:sz w:val="32"/>
          <w:szCs w:val="32"/>
          <w:lang w:eastAsia="zh-CN"/>
        </w:rPr>
        <w:t>车站街道办事处</w:t>
      </w:r>
      <w:r>
        <w:rPr>
          <w:rFonts w:hint="eastAsia" w:ascii="仿宋_GB2312" w:hAnsi="宋体" w:eastAsia="仿宋_GB2312" w:cs="宋体"/>
          <w:color w:val="auto"/>
          <w:kern w:val="0"/>
          <w:sz w:val="32"/>
          <w:szCs w:val="32"/>
        </w:rPr>
        <w:t>加强权力配置信息公开</w:t>
      </w:r>
      <w:r>
        <w:rPr>
          <w:rFonts w:hint="eastAsia" w:ascii="仿宋_GB2312" w:eastAsia="仿宋_GB2312" w:cs="宋体"/>
          <w:color w:val="auto"/>
          <w:kern w:val="0"/>
          <w:sz w:val="32"/>
          <w:szCs w:val="32"/>
          <w:lang w:eastAsia="zh-CN"/>
        </w:rPr>
        <w:t>，不断</w:t>
      </w:r>
      <w:r>
        <w:rPr>
          <w:rFonts w:hint="eastAsia" w:ascii="仿宋_GB2312" w:hAnsi="宋体" w:eastAsia="仿宋_GB2312" w:cs="宋体"/>
          <w:color w:val="auto"/>
          <w:kern w:val="0"/>
          <w:sz w:val="32"/>
          <w:szCs w:val="32"/>
        </w:rPr>
        <w:t>更新、完善、公开我单位工作职责、机构设置、主要领导信息、权责清单等</w:t>
      </w:r>
      <w:r>
        <w:rPr>
          <w:rFonts w:hint="eastAsia" w:ascii="仿宋_GB2312" w:eastAsia="仿宋_GB2312" w:cs="宋体"/>
          <w:color w:val="auto"/>
          <w:kern w:val="0"/>
          <w:sz w:val="32"/>
          <w:szCs w:val="32"/>
          <w:lang w:eastAsia="zh-CN"/>
        </w:rPr>
        <w:t>；</w:t>
      </w:r>
      <w:r>
        <w:rPr>
          <w:rFonts w:hint="eastAsia" w:ascii="仿宋_GB2312" w:hAnsi="宋体" w:eastAsia="仿宋_GB2312" w:cs="宋体"/>
          <w:color w:val="auto"/>
          <w:kern w:val="0"/>
          <w:sz w:val="32"/>
          <w:szCs w:val="32"/>
        </w:rPr>
        <w:t>加强权力运行过程信息公开</w:t>
      </w:r>
      <w:r>
        <w:rPr>
          <w:rFonts w:hint="eastAsia" w:ascii="仿宋_GB2312" w:eastAsia="仿宋_GB2312" w:cs="宋体"/>
          <w:color w:val="auto"/>
          <w:kern w:val="0"/>
          <w:sz w:val="32"/>
          <w:szCs w:val="32"/>
          <w:lang w:eastAsia="zh-CN"/>
        </w:rPr>
        <w:t>，</w:t>
      </w:r>
      <w:r>
        <w:rPr>
          <w:rFonts w:hint="eastAsia" w:ascii="仿宋_GB2312" w:hAnsi="宋体" w:eastAsia="仿宋_GB2312" w:cs="宋体"/>
          <w:color w:val="auto"/>
          <w:kern w:val="0"/>
          <w:sz w:val="32"/>
          <w:szCs w:val="32"/>
        </w:rPr>
        <w:t>加快推进基层政务公开标准化规范化，依法保障人民群众知情权、参与权、表达权、监督权，在区政府门户网站做好相关情况公开</w:t>
      </w:r>
      <w:r>
        <w:rPr>
          <w:rFonts w:hint="eastAsia" w:ascii="仿宋_GB2312" w:eastAsia="仿宋_GB2312" w:cs="宋体"/>
          <w:color w:val="auto"/>
          <w:kern w:val="0"/>
          <w:sz w:val="32"/>
          <w:szCs w:val="32"/>
          <w:lang w:eastAsia="zh-CN"/>
        </w:rPr>
        <w:t>；</w:t>
      </w:r>
      <w:r>
        <w:rPr>
          <w:rFonts w:hint="eastAsia" w:ascii="仿宋_GB2312" w:hAnsi="宋体" w:eastAsia="仿宋_GB2312" w:cs="宋体"/>
          <w:color w:val="auto"/>
          <w:kern w:val="0"/>
          <w:sz w:val="32"/>
          <w:szCs w:val="32"/>
        </w:rPr>
        <w:t>加强政务信息管理</w:t>
      </w:r>
      <w:r>
        <w:rPr>
          <w:rFonts w:hint="eastAsia" w:ascii="仿宋_GB2312" w:eastAsia="仿宋_GB2312" w:cs="宋体"/>
          <w:color w:val="auto"/>
          <w:kern w:val="0"/>
          <w:sz w:val="32"/>
          <w:szCs w:val="32"/>
          <w:lang w:eastAsia="zh-CN"/>
        </w:rPr>
        <w:t>，</w:t>
      </w:r>
      <w:r>
        <w:rPr>
          <w:rFonts w:hint="eastAsia" w:ascii="仿宋_GB2312" w:hAnsi="宋体" w:eastAsia="仿宋_GB2312" w:cs="宋体"/>
          <w:color w:val="auto"/>
          <w:kern w:val="0"/>
          <w:sz w:val="32"/>
          <w:szCs w:val="32"/>
        </w:rPr>
        <w:t>建立工作制度、成立政务公开工作领导小组并及时更新主动公开基本目录</w:t>
      </w:r>
      <w:r>
        <w:rPr>
          <w:rFonts w:hint="eastAsia" w:ascii="仿宋_GB2312" w:eastAsia="仿宋_GB2312" w:cs="宋体"/>
          <w:color w:val="auto"/>
          <w:kern w:val="0"/>
          <w:sz w:val="32"/>
          <w:szCs w:val="32"/>
          <w:lang w:eastAsia="zh-CN"/>
        </w:rPr>
        <w:t>；</w:t>
      </w:r>
      <w:r>
        <w:rPr>
          <w:rFonts w:hint="eastAsia" w:ascii="仿宋_GB2312" w:hAnsi="宋体" w:eastAsia="仿宋_GB2312" w:cs="宋体"/>
          <w:color w:val="auto"/>
          <w:kern w:val="0"/>
          <w:sz w:val="32"/>
          <w:szCs w:val="32"/>
        </w:rPr>
        <w:t>严格审核信息发布内容，规范信息发布流程</w:t>
      </w:r>
      <w:r>
        <w:rPr>
          <w:rFonts w:hint="eastAsia" w:ascii="仿宋_GB2312" w:eastAsia="仿宋_GB2312" w:cs="宋体"/>
          <w:color w:val="auto"/>
          <w:kern w:val="0"/>
          <w:sz w:val="32"/>
          <w:szCs w:val="32"/>
          <w:lang w:eastAsia="zh-CN"/>
        </w:rPr>
        <w:t>，</w:t>
      </w:r>
      <w:r>
        <w:rPr>
          <w:rFonts w:hint="eastAsia" w:ascii="仿宋_GB2312" w:hAnsi="宋体" w:eastAsia="仿宋_GB2312" w:cs="宋体"/>
          <w:color w:val="auto"/>
          <w:kern w:val="0"/>
          <w:sz w:val="32"/>
          <w:szCs w:val="32"/>
        </w:rPr>
        <w:t>由专人统一发布</w:t>
      </w:r>
      <w:r>
        <w:rPr>
          <w:rFonts w:hint="eastAsia" w:ascii="仿宋_GB2312" w:eastAsia="仿宋_GB2312" w:cs="宋体"/>
          <w:color w:val="auto"/>
          <w:kern w:val="0"/>
          <w:sz w:val="32"/>
          <w:szCs w:val="32"/>
          <w:lang w:eastAsia="zh-CN"/>
        </w:rPr>
        <w:t>；</w:t>
      </w:r>
      <w:r>
        <w:rPr>
          <w:rFonts w:hint="eastAsia" w:ascii="仿宋_GB2312" w:hAnsi="宋体" w:eastAsia="仿宋_GB2312" w:cs="宋体"/>
          <w:color w:val="auto"/>
          <w:kern w:val="0"/>
          <w:sz w:val="32"/>
          <w:szCs w:val="32"/>
        </w:rPr>
        <w:t>坚持“谁起草谁解读”。今年共公开</w:t>
      </w:r>
      <w:r>
        <w:rPr>
          <w:rFonts w:hint="eastAsia" w:ascii="仿宋_GB2312" w:eastAsia="仿宋_GB2312" w:cs="宋体"/>
          <w:color w:val="auto"/>
          <w:kern w:val="0"/>
          <w:sz w:val="32"/>
          <w:szCs w:val="32"/>
          <w:lang w:val="en-US" w:eastAsia="zh-CN"/>
        </w:rPr>
        <w:t>7</w:t>
      </w:r>
      <w:r>
        <w:rPr>
          <w:rFonts w:hint="eastAsia" w:ascii="仿宋_GB2312" w:hAnsi="宋体" w:eastAsia="仿宋_GB2312" w:cs="宋体"/>
          <w:color w:val="auto"/>
          <w:kern w:val="0"/>
          <w:sz w:val="32"/>
          <w:szCs w:val="32"/>
        </w:rPr>
        <w:t>篇有关政策的解读</w:t>
      </w:r>
      <w:r>
        <w:rPr>
          <w:rFonts w:hint="eastAsia" w:ascii="仿宋_GB2312" w:eastAsia="仿宋_GB2312" w:cs="宋体"/>
          <w:color w:val="auto"/>
          <w:kern w:val="0"/>
          <w:sz w:val="32"/>
          <w:szCs w:val="32"/>
          <w:lang w:eastAsia="zh-CN"/>
        </w:rPr>
        <w:t>；</w:t>
      </w:r>
      <w:r>
        <w:rPr>
          <w:rFonts w:hint="eastAsia" w:ascii="仿宋_GB2312" w:hAnsi="宋体" w:eastAsia="仿宋_GB2312" w:cs="宋体"/>
          <w:color w:val="auto"/>
          <w:kern w:val="0"/>
          <w:sz w:val="32"/>
          <w:szCs w:val="32"/>
        </w:rPr>
        <w:t>进一步规范和完善办事指南，及时公布</w:t>
      </w:r>
      <w:r>
        <w:rPr>
          <w:rFonts w:hint="eastAsia" w:ascii="仿宋_GB2312" w:eastAsia="仿宋_GB2312" w:cs="宋体"/>
          <w:color w:val="auto"/>
          <w:kern w:val="0"/>
          <w:sz w:val="32"/>
          <w:szCs w:val="32"/>
          <w:lang w:eastAsia="zh-CN"/>
        </w:rPr>
        <w:t>车站街道</w:t>
      </w:r>
      <w:r>
        <w:rPr>
          <w:rFonts w:hint="eastAsia" w:ascii="仿宋_GB2312" w:hAnsi="宋体" w:eastAsia="仿宋_GB2312" w:cs="宋体"/>
          <w:color w:val="auto"/>
          <w:kern w:val="0"/>
          <w:sz w:val="32"/>
          <w:szCs w:val="32"/>
        </w:rPr>
        <w:t>服务事项、办事指南。</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default" w:ascii="仿宋_GB2312" w:hAnsi="宋体" w:eastAsia="仿宋_GB2312" w:cs="宋体"/>
          <w:color w:val="auto"/>
          <w:kern w:val="0"/>
          <w:sz w:val="32"/>
          <w:szCs w:val="32"/>
        </w:rPr>
      </w:pPr>
      <w:r>
        <w:rPr>
          <w:rFonts w:hint="eastAsia" w:ascii="黑体" w:hAnsi="黑体" w:eastAsia="黑体" w:cs="黑体"/>
          <w:color w:val="auto"/>
          <w:kern w:val="0"/>
          <w:sz w:val="32"/>
          <w:szCs w:val="32"/>
        </w:rPr>
        <w:t>主动公开政府信息情况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default"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2020年</w:t>
      </w:r>
      <w:r>
        <w:rPr>
          <w:rFonts w:hint="eastAsia" w:ascii="仿宋_GB2312" w:eastAsia="仿宋_GB2312" w:cs="宋体"/>
          <w:color w:val="auto"/>
          <w:kern w:val="0"/>
          <w:sz w:val="32"/>
          <w:szCs w:val="32"/>
          <w:lang w:eastAsia="zh-CN"/>
        </w:rPr>
        <w:t>我办共</w:t>
      </w:r>
      <w:r>
        <w:rPr>
          <w:rFonts w:hint="eastAsia" w:ascii="仿宋_GB2312" w:hAnsi="宋体" w:eastAsia="仿宋_GB2312" w:cs="宋体"/>
          <w:color w:val="auto"/>
          <w:kern w:val="0"/>
          <w:sz w:val="32"/>
          <w:szCs w:val="32"/>
        </w:rPr>
        <w:t>主动公开政府信息</w:t>
      </w:r>
      <w:r>
        <w:rPr>
          <w:rFonts w:hint="eastAsia" w:ascii="仿宋_GB2312" w:eastAsia="仿宋_GB2312" w:cs="宋体"/>
          <w:color w:val="auto"/>
          <w:kern w:val="0"/>
          <w:sz w:val="32"/>
          <w:szCs w:val="32"/>
          <w:lang w:val="en-US" w:eastAsia="zh-CN"/>
        </w:rPr>
        <w:t>141</w:t>
      </w:r>
      <w:r>
        <w:rPr>
          <w:rFonts w:hint="eastAsia" w:ascii="仿宋_GB2312" w:hAnsi="宋体" w:eastAsia="仿宋_GB2312" w:cs="宋体"/>
          <w:color w:val="auto"/>
          <w:kern w:val="0"/>
          <w:sz w:val="32"/>
          <w:szCs w:val="32"/>
        </w:rPr>
        <w:t>条。主动公开政府信息的主要类别：履职依据、机构职能、领导信息、专项规划、统计信息、重大决策预公开、会议公开、建议提案、行政权力、财政信息、重点领域信息公开、政策解读、人事信息、业务动态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default" w:ascii="黑体" w:hAnsi="黑体" w:eastAsia="黑体" w:cs="黑体"/>
          <w:color w:val="auto"/>
          <w:kern w:val="0"/>
          <w:sz w:val="32"/>
          <w:szCs w:val="32"/>
        </w:rPr>
      </w:pPr>
      <w:r>
        <w:rPr>
          <w:rFonts w:hint="eastAsia" w:ascii="黑体" w:hAnsi="黑体" w:eastAsia="黑体" w:cs="黑体"/>
          <w:color w:val="auto"/>
          <w:kern w:val="0"/>
          <w:sz w:val="32"/>
          <w:szCs w:val="32"/>
        </w:rPr>
        <w:t>（三）政府信息依申请公开办理情况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default"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1.2020年我办受理的申请数量：</w:t>
      </w:r>
      <w:r>
        <w:rPr>
          <w:rFonts w:hint="eastAsia" w:ascii="仿宋_GB2312" w:eastAsia="仿宋_GB2312" w:cs="宋体"/>
          <w:color w:val="auto"/>
          <w:kern w:val="0"/>
          <w:sz w:val="32"/>
          <w:szCs w:val="32"/>
          <w:lang w:val="en-US" w:eastAsia="zh-CN"/>
        </w:rPr>
        <w:t>11</w:t>
      </w:r>
      <w:r>
        <w:rPr>
          <w:rFonts w:hint="eastAsia" w:ascii="仿宋_GB2312" w:hAnsi="宋体" w:eastAsia="仿宋_GB2312" w:cs="宋体"/>
          <w:color w:val="auto"/>
          <w:kern w:val="0"/>
          <w:sz w:val="32"/>
          <w:szCs w:val="32"/>
        </w:rPr>
        <w:t>件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eastAsia" w:ascii="仿宋_GB2312" w:hAnsi="宋体" w:eastAsia="仿宋_GB2312" w:cs="宋体"/>
          <w:color w:val="auto"/>
          <w:kern w:val="0"/>
          <w:sz w:val="32"/>
          <w:szCs w:val="32"/>
          <w:lang w:eastAsia="zh-CN"/>
        </w:rPr>
      </w:pPr>
      <w:r>
        <w:rPr>
          <w:rFonts w:hint="eastAsia" w:ascii="仿宋_GB2312" w:hAnsi="宋体" w:eastAsia="仿宋_GB2312" w:cs="宋体"/>
          <w:color w:val="auto"/>
          <w:kern w:val="0"/>
          <w:sz w:val="32"/>
          <w:szCs w:val="32"/>
        </w:rPr>
        <w:t>2.对申请的办理情况：</w:t>
      </w:r>
      <w:r>
        <w:rPr>
          <w:rFonts w:hint="eastAsia" w:ascii="仿宋_GB2312" w:eastAsia="仿宋_GB2312" w:cs="宋体"/>
          <w:color w:val="auto"/>
          <w:kern w:val="0"/>
          <w:sz w:val="32"/>
          <w:szCs w:val="32"/>
          <w:lang w:eastAsia="zh-CN"/>
        </w:rPr>
        <w:t>全部按时答复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default" w:ascii="黑体" w:hAnsi="黑体" w:eastAsia="黑体" w:cs="黑体"/>
          <w:color w:val="auto"/>
          <w:kern w:val="0"/>
          <w:sz w:val="32"/>
          <w:szCs w:val="32"/>
        </w:rPr>
      </w:pPr>
      <w:r>
        <w:rPr>
          <w:rFonts w:hint="eastAsia" w:ascii="黑体" w:hAnsi="黑体" w:eastAsia="黑体" w:cs="黑体"/>
          <w:color w:val="auto"/>
          <w:kern w:val="0"/>
          <w:sz w:val="32"/>
          <w:szCs w:val="32"/>
        </w:rPr>
        <w:t>（四）工作考核、社会评议和责任追究结果情况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default" w:ascii="仿宋_GB2312" w:hAnsi="宋体" w:eastAsia="仿宋_GB2312" w:cs="宋体"/>
          <w:color w:val="auto"/>
          <w:kern w:val="0"/>
          <w:sz w:val="32"/>
          <w:szCs w:val="32"/>
        </w:rPr>
      </w:pPr>
      <w:r>
        <w:rPr>
          <w:rFonts w:hint="eastAsia" w:ascii="仿宋_GB2312" w:eastAsia="仿宋_GB2312" w:cs="宋体"/>
          <w:color w:val="auto"/>
          <w:kern w:val="0"/>
          <w:sz w:val="32"/>
          <w:szCs w:val="32"/>
          <w:lang w:eastAsia="zh-CN"/>
        </w:rPr>
        <w:t>我办</w:t>
      </w:r>
      <w:r>
        <w:rPr>
          <w:rFonts w:hint="eastAsia" w:ascii="仿宋_GB2312" w:hAnsi="宋体" w:eastAsia="仿宋_GB2312" w:cs="宋体"/>
          <w:color w:val="auto"/>
          <w:kern w:val="0"/>
          <w:sz w:val="32"/>
          <w:szCs w:val="32"/>
        </w:rPr>
        <w:t>将政务公开工作列入单位年度工作计划和考核，2020年召开了政务公开工作专题部署会</w:t>
      </w:r>
      <w:r>
        <w:rPr>
          <w:rFonts w:hint="eastAsia" w:ascii="仿宋_GB2312" w:eastAsia="仿宋_GB2312" w:cs="宋体"/>
          <w:color w:val="auto"/>
          <w:kern w:val="0"/>
          <w:sz w:val="32"/>
          <w:szCs w:val="32"/>
          <w:lang w:val="en-US" w:eastAsia="zh-CN"/>
        </w:rPr>
        <w:t>1次</w:t>
      </w:r>
      <w:r>
        <w:rPr>
          <w:rFonts w:hint="eastAsia" w:ascii="仿宋_GB2312" w:hAnsi="宋体" w:eastAsia="仿宋_GB2312" w:cs="宋体"/>
          <w:color w:val="auto"/>
          <w:kern w:val="0"/>
          <w:sz w:val="32"/>
          <w:szCs w:val="32"/>
        </w:rPr>
        <w:t>和政务公开工作培训会</w:t>
      </w:r>
      <w:r>
        <w:rPr>
          <w:rFonts w:hint="eastAsia" w:ascii="仿宋_GB2312" w:eastAsia="仿宋_GB2312" w:cs="宋体"/>
          <w:color w:val="auto"/>
          <w:kern w:val="0"/>
          <w:sz w:val="32"/>
          <w:szCs w:val="32"/>
          <w:lang w:val="en-US" w:eastAsia="zh-CN"/>
        </w:rPr>
        <w:t>1次</w:t>
      </w:r>
      <w:r>
        <w:rPr>
          <w:rFonts w:hint="eastAsia" w:ascii="仿宋_GB2312" w:hAnsi="宋体" w:eastAsia="仿宋_GB2312" w:cs="宋体"/>
          <w:color w:val="auto"/>
          <w:kern w:val="0"/>
          <w:sz w:val="32"/>
          <w:szCs w:val="32"/>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default" w:ascii="黑体" w:hAnsi="黑体" w:eastAsia="黑体" w:cs="黑体"/>
          <w:color w:val="auto"/>
          <w:kern w:val="0"/>
          <w:sz w:val="32"/>
          <w:szCs w:val="32"/>
        </w:rPr>
      </w:pPr>
      <w:r>
        <w:rPr>
          <w:rFonts w:hint="eastAsia" w:ascii="黑体" w:hAnsi="黑体" w:eastAsia="黑体" w:cs="黑体"/>
          <w:color w:val="auto"/>
          <w:kern w:val="0"/>
          <w:sz w:val="32"/>
          <w:szCs w:val="32"/>
        </w:rPr>
        <w:t>（五）将人大建议和政协议提案办理结果及时公开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default"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2020年共收到人大代表建议</w:t>
      </w:r>
      <w:r>
        <w:rPr>
          <w:rFonts w:hint="eastAsia" w:ascii="仿宋_GB2312" w:eastAsia="仿宋_GB2312" w:cs="宋体"/>
          <w:color w:val="auto"/>
          <w:kern w:val="0"/>
          <w:sz w:val="32"/>
          <w:szCs w:val="32"/>
          <w:lang w:val="en-US" w:eastAsia="zh-CN"/>
        </w:rPr>
        <w:t>1</w:t>
      </w:r>
      <w:r>
        <w:rPr>
          <w:rFonts w:hint="eastAsia" w:ascii="仿宋_GB2312" w:hAnsi="宋体" w:eastAsia="仿宋_GB2312" w:cs="宋体"/>
          <w:color w:val="auto"/>
          <w:kern w:val="0"/>
          <w:sz w:val="32"/>
          <w:szCs w:val="32"/>
        </w:rPr>
        <w:t>件，政协委员提案</w:t>
      </w:r>
      <w:r>
        <w:rPr>
          <w:rFonts w:hint="eastAsia" w:ascii="仿宋_GB2312" w:eastAsia="仿宋_GB2312" w:cs="宋体"/>
          <w:color w:val="auto"/>
          <w:kern w:val="0"/>
          <w:sz w:val="32"/>
          <w:szCs w:val="32"/>
          <w:lang w:val="en-US" w:eastAsia="zh-CN"/>
        </w:rPr>
        <w:t>2</w:t>
      </w:r>
      <w:r>
        <w:rPr>
          <w:rFonts w:hint="eastAsia" w:ascii="仿宋_GB2312" w:hAnsi="宋体" w:eastAsia="仿宋_GB2312" w:cs="宋体"/>
          <w:color w:val="auto"/>
          <w:kern w:val="0"/>
          <w:sz w:val="32"/>
          <w:szCs w:val="32"/>
        </w:rPr>
        <w:t>件，按照人大建议、政协提案办理工作方案安排，我办不断改进办理方式，优化办理流程，已完成交办、走访工作，全部办结。从走访或电话沟通的情况看，代表委员满意率为100%。办理的人大建议、政协提案在办理完成后</w:t>
      </w:r>
      <w:r>
        <w:rPr>
          <w:rFonts w:hint="eastAsia" w:ascii="仿宋_GB2312" w:eastAsia="仿宋_GB2312" w:cs="宋体"/>
          <w:color w:val="auto"/>
          <w:kern w:val="0"/>
          <w:sz w:val="32"/>
          <w:szCs w:val="32"/>
          <w:lang w:eastAsia="zh-CN"/>
        </w:rPr>
        <w:t>均</w:t>
      </w:r>
      <w:r>
        <w:rPr>
          <w:rFonts w:hint="eastAsia" w:ascii="仿宋_GB2312" w:hAnsi="宋体" w:eastAsia="仿宋_GB2312" w:cs="宋体"/>
          <w:color w:val="auto"/>
          <w:kern w:val="0"/>
          <w:sz w:val="32"/>
          <w:szCs w:val="32"/>
        </w:rPr>
        <w:t>在区政府门户网站政府信息公开专栏进行公开。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default" w:ascii="黑体" w:hAnsi="黑体" w:eastAsia="黑体" w:cs="黑体"/>
          <w:color w:val="auto"/>
          <w:kern w:val="0"/>
          <w:sz w:val="32"/>
          <w:szCs w:val="32"/>
        </w:rPr>
      </w:pPr>
      <w:r>
        <w:rPr>
          <w:rFonts w:hint="eastAsia" w:ascii="黑体" w:hAnsi="黑体" w:eastAsia="黑体" w:cs="黑体"/>
          <w:color w:val="auto"/>
          <w:kern w:val="0"/>
          <w:sz w:val="32"/>
          <w:szCs w:val="32"/>
        </w:rPr>
        <w:t>（六）主动公开政府信息情况相关统计数据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default"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2020年我办共发布统计数据1次。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default"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w:t>
      </w:r>
      <w:r>
        <w:rPr>
          <w:rFonts w:hint="eastAsia" w:ascii="黑体" w:hAnsi="黑体" w:eastAsia="黑体" w:cs="黑体"/>
          <w:color w:val="auto"/>
          <w:kern w:val="0"/>
          <w:sz w:val="32"/>
          <w:szCs w:val="32"/>
        </w:rPr>
        <w:t>七）政府信息管理情况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default" w:ascii="仿宋_GB2312" w:hAnsi="宋体" w:eastAsia="仿宋_GB2312" w:cs="宋体"/>
          <w:color w:val="auto"/>
          <w:kern w:val="0"/>
          <w:sz w:val="32"/>
          <w:szCs w:val="32"/>
        </w:rPr>
      </w:pPr>
      <w:r>
        <w:rPr>
          <w:rFonts w:hint="eastAsia" w:ascii="仿宋_GB2312" w:eastAsia="仿宋_GB2312" w:cs="宋体"/>
          <w:color w:val="auto"/>
          <w:kern w:val="0"/>
          <w:sz w:val="32"/>
          <w:szCs w:val="32"/>
          <w:lang w:eastAsia="zh-CN"/>
        </w:rPr>
        <w:t>我办</w:t>
      </w:r>
      <w:r>
        <w:rPr>
          <w:rFonts w:hint="eastAsia" w:ascii="仿宋_GB2312" w:hAnsi="宋体" w:eastAsia="仿宋_GB2312" w:cs="宋体"/>
          <w:color w:val="auto"/>
          <w:kern w:val="0"/>
          <w:sz w:val="32"/>
          <w:szCs w:val="32"/>
        </w:rPr>
        <w:t>不断完善信息发布制度，制定信息公开工作制度,严格审核信息发布内容，规范信息发布流程。拟公开的信息由拟办委办核稿报业务分管领导审核,再提交党政办汇总逐条审查提出意见，报政务公开分管领导审定,符合公开条件的信息，由专人在网站上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default" w:ascii="黑体" w:hAnsi="黑体" w:eastAsia="黑体" w:cs="黑体"/>
          <w:color w:val="auto"/>
          <w:kern w:val="0"/>
          <w:sz w:val="32"/>
          <w:szCs w:val="32"/>
        </w:rPr>
      </w:pPr>
      <w:r>
        <w:rPr>
          <w:rFonts w:hint="eastAsia" w:ascii="黑体" w:hAnsi="黑体" w:eastAsia="黑体" w:cs="黑体"/>
          <w:color w:val="auto"/>
          <w:kern w:val="0"/>
          <w:sz w:val="32"/>
          <w:szCs w:val="32"/>
        </w:rPr>
        <w:t>（八）重点领域政府信息公开工作推进情况和公开情况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default" w:ascii="仿宋_GB2312" w:hAnsi="宋体" w:eastAsia="仿宋_GB2312" w:cs="宋体"/>
          <w:color w:val="auto"/>
          <w:kern w:val="0"/>
          <w:sz w:val="32"/>
          <w:szCs w:val="32"/>
        </w:rPr>
      </w:pPr>
      <w:r>
        <w:rPr>
          <w:rFonts w:hint="eastAsia" w:ascii="仿宋_GB2312" w:eastAsia="仿宋_GB2312" w:cs="宋体"/>
          <w:color w:val="auto"/>
          <w:kern w:val="0"/>
          <w:sz w:val="32"/>
          <w:szCs w:val="32"/>
          <w:lang w:eastAsia="zh-CN"/>
        </w:rPr>
        <w:t>为</w:t>
      </w:r>
      <w:r>
        <w:rPr>
          <w:rFonts w:hint="eastAsia" w:ascii="仿宋_GB2312" w:hAnsi="宋体" w:eastAsia="仿宋_GB2312" w:cs="宋体"/>
          <w:color w:val="auto"/>
          <w:kern w:val="0"/>
          <w:sz w:val="32"/>
          <w:szCs w:val="32"/>
        </w:rPr>
        <w:t>积极做好政府门户网站信息公开工作，着重从完善管理机制、丰富网站内容、促进互动交流等方面进一步开展工作，取得了较好的效果，为更好地推动政府信息公开工作奠定了坚实基础。一是</w:t>
      </w:r>
      <w:r>
        <w:rPr>
          <w:rFonts w:hint="eastAsia" w:ascii="仿宋_GB2312" w:eastAsia="仿宋_GB2312" w:cs="宋体"/>
          <w:color w:val="auto"/>
          <w:kern w:val="0"/>
          <w:sz w:val="32"/>
          <w:szCs w:val="32"/>
          <w:lang w:eastAsia="zh-CN"/>
        </w:rPr>
        <w:t>做好</w:t>
      </w:r>
      <w:r>
        <w:rPr>
          <w:rFonts w:hint="eastAsia" w:ascii="仿宋_GB2312" w:hAnsi="宋体" w:eastAsia="仿宋_GB2312" w:cs="宋体"/>
          <w:color w:val="auto"/>
          <w:kern w:val="0"/>
          <w:sz w:val="32"/>
          <w:szCs w:val="32"/>
        </w:rPr>
        <w:t>重点民生与公益事业信息公开。在区政府网站公开了每月的低保户名单等信息以及与人民群众关系密切的教育、社会福利、办事指南、各项社会救助业务指南等信息。</w:t>
      </w:r>
      <w:r>
        <w:rPr>
          <w:rFonts w:hint="eastAsia" w:ascii="仿宋_GB2312" w:eastAsia="仿宋_GB2312" w:cs="宋体"/>
          <w:color w:val="auto"/>
          <w:kern w:val="0"/>
          <w:sz w:val="32"/>
          <w:szCs w:val="32"/>
          <w:lang w:eastAsia="zh-CN"/>
        </w:rPr>
        <w:t>二是</w:t>
      </w:r>
      <w:r>
        <w:rPr>
          <w:rFonts w:hint="eastAsia" w:ascii="仿宋_GB2312" w:hAnsi="宋体" w:eastAsia="仿宋_GB2312" w:cs="宋体"/>
          <w:color w:val="auto"/>
          <w:kern w:val="0"/>
          <w:sz w:val="32"/>
          <w:szCs w:val="32"/>
        </w:rPr>
        <w:t>及时公开安全生产应急预案及各项工作措施。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default" w:ascii="黑体" w:hAnsi="黑体" w:eastAsia="黑体" w:cs="黑体"/>
          <w:color w:val="auto"/>
          <w:kern w:val="0"/>
          <w:sz w:val="32"/>
          <w:szCs w:val="32"/>
        </w:rPr>
      </w:pPr>
      <w:r>
        <w:rPr>
          <w:rFonts w:hint="eastAsia" w:ascii="黑体" w:hAnsi="黑体" w:eastAsia="黑体" w:cs="黑体"/>
          <w:color w:val="auto"/>
          <w:kern w:val="0"/>
          <w:sz w:val="32"/>
          <w:szCs w:val="32"/>
        </w:rPr>
        <w:t>（九）存在的主要问题及改进情况</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exact"/>
        <w:ind w:firstLine="538"/>
        <w:jc w:val="left"/>
        <w:textAlignment w:val="auto"/>
        <w:rPr>
          <w:rFonts w:hint="default" w:ascii="仿宋_GB2312" w:hAnsi="宋体" w:eastAsia="仿宋_GB2312" w:cs="宋体"/>
          <w:color w:val="auto"/>
          <w:kern w:val="0"/>
          <w:sz w:val="32"/>
          <w:szCs w:val="32"/>
          <w:lang w:val="en-US" w:eastAsia="zh-CN" w:bidi="ar-SA"/>
        </w:rPr>
      </w:pPr>
      <w:r>
        <w:rPr>
          <w:rFonts w:hint="eastAsia" w:ascii="仿宋_GB2312" w:hAnsi="宋体" w:eastAsia="仿宋_GB2312" w:cs="宋体"/>
          <w:color w:val="auto"/>
          <w:kern w:val="0"/>
          <w:sz w:val="32"/>
          <w:szCs w:val="32"/>
          <w:lang w:val="en-US" w:eastAsia="zh-CN" w:bidi="ar-SA"/>
        </w:rPr>
        <w:t>2020年的政务公开工作主要存在的问题是信息公开面向社会宣传力度不够、信息公开的内容有待进一步完善、政务网站信息公开的业务知识比较欠缺，管理人员的技术水平有待培训提高、公开的及时性、便民性还需要进一步提高等。借更换政务公开工作平台的机会，我办严格按照政务公开事项和格式要求做了彻底整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default" w:ascii="黑体" w:hAnsi="黑体" w:eastAsia="黑体" w:cs="黑体"/>
          <w:color w:val="auto"/>
          <w:kern w:val="0"/>
          <w:sz w:val="32"/>
          <w:szCs w:val="32"/>
        </w:rPr>
      </w:pPr>
      <w:r>
        <w:rPr>
          <w:rFonts w:hint="eastAsia" w:ascii="黑体" w:hAnsi="黑体" w:eastAsia="黑体" w:cs="黑体"/>
          <w:color w:val="auto"/>
          <w:kern w:val="0"/>
          <w:sz w:val="32"/>
          <w:szCs w:val="32"/>
        </w:rPr>
        <w:t>（十）因政府信息公开申请提起行政复议、行政诉讼的情况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rPr>
          <w:rFonts w:hint="default"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2020年，</w:t>
      </w:r>
      <w:r>
        <w:rPr>
          <w:rFonts w:hint="eastAsia" w:ascii="仿宋_GB2312" w:eastAsia="仿宋_GB2312" w:cs="宋体"/>
          <w:color w:val="auto"/>
          <w:kern w:val="0"/>
          <w:sz w:val="32"/>
          <w:szCs w:val="32"/>
          <w:lang w:eastAsia="zh-CN"/>
        </w:rPr>
        <w:t>我办没有</w:t>
      </w:r>
      <w:r>
        <w:rPr>
          <w:rFonts w:hint="eastAsia" w:ascii="仿宋_GB2312" w:hAnsi="宋体" w:eastAsia="仿宋_GB2312" w:cs="宋体"/>
          <w:color w:val="auto"/>
          <w:kern w:val="0"/>
          <w:sz w:val="32"/>
          <w:szCs w:val="32"/>
        </w:rPr>
        <w:t>因违反政府信息公开工作规定而出现的行政复议和行政诉讼情况。</w:t>
      </w:r>
    </w:p>
    <w:p>
      <w:pPr>
        <w:pStyle w:val="2"/>
        <w:widowControl/>
        <w:shd w:val="clear" w:color="auto" w:fill="FFFFFF"/>
        <w:spacing w:beforeAutospacing="0" w:after="240" w:afterAutospacing="0"/>
        <w:ind w:firstLine="640"/>
        <w:jc w:val="both"/>
        <w:rPr>
          <w:rFonts w:ascii="黑体" w:hAnsi="黑体" w:eastAsia="黑体" w:cs="黑体"/>
          <w:color w:val="auto"/>
          <w:sz w:val="32"/>
          <w:szCs w:val="32"/>
        </w:rPr>
      </w:pPr>
      <w:r>
        <w:rPr>
          <w:rFonts w:hint="eastAsia" w:ascii="黑体" w:hAnsi="黑体" w:eastAsia="黑体" w:cs="黑体"/>
          <w:color w:val="auto"/>
          <w:sz w:val="32"/>
          <w:szCs w:val="32"/>
          <w:shd w:val="clear" w:color="auto" w:fill="FFFFFF"/>
        </w:rPr>
        <w:t>二、主动公开政府信息情况</w:t>
      </w:r>
    </w:p>
    <w:tbl>
      <w:tblPr>
        <w:tblStyle w:val="3"/>
        <w:tblW w:w="8708" w:type="dxa"/>
        <w:jc w:val="center"/>
        <w:shd w:val="clear" w:color="auto" w:fill="FFFFFF"/>
        <w:tblLayout w:type="fixed"/>
        <w:tblCellMar>
          <w:top w:w="0" w:type="dxa"/>
          <w:left w:w="0" w:type="dxa"/>
          <w:bottom w:w="0" w:type="dxa"/>
          <w:right w:w="0" w:type="dxa"/>
        </w:tblCellMar>
      </w:tblPr>
      <w:tblGrid>
        <w:gridCol w:w="3073"/>
        <w:gridCol w:w="17"/>
        <w:gridCol w:w="2095"/>
        <w:gridCol w:w="1505"/>
        <w:gridCol w:w="2018"/>
      </w:tblGrid>
      <w:tr>
        <w:tblPrEx>
          <w:shd w:val="clear" w:color="auto" w:fill="FFFFFF"/>
          <w:tblCellMar>
            <w:top w:w="0" w:type="dxa"/>
            <w:left w:w="0" w:type="dxa"/>
            <w:bottom w:w="0" w:type="dxa"/>
            <w:right w:w="0" w:type="dxa"/>
          </w:tblCellMar>
        </w:tblPrEx>
        <w:trPr>
          <w:trHeight w:val="594" w:hRule="atLeast"/>
          <w:jc w:val="center"/>
        </w:trPr>
        <w:tc>
          <w:tcPr>
            <w:tcW w:w="8708" w:type="dxa"/>
            <w:gridSpan w:val="5"/>
            <w:tcBorders>
              <w:top w:val="single" w:color="auto" w:sz="8" w:space="0"/>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sz w:val="24"/>
              </w:rPr>
            </w:pPr>
            <w:r>
              <w:rPr>
                <w:rFonts w:hint="eastAsia" w:ascii="宋体" w:hAnsi="宋体" w:cs="宋体"/>
                <w:color w:val="auto"/>
                <w:kern w:val="0"/>
                <w:sz w:val="24"/>
              </w:rPr>
              <w:t>第二十条第（一）项</w:t>
            </w:r>
          </w:p>
        </w:tc>
      </w:tr>
      <w:tr>
        <w:tblPrEx>
          <w:tblCellMar>
            <w:top w:w="0" w:type="dxa"/>
            <w:left w:w="0" w:type="dxa"/>
            <w:bottom w:w="0" w:type="dxa"/>
            <w:right w:w="0" w:type="dxa"/>
          </w:tblCellMar>
        </w:tblPrEx>
        <w:trPr>
          <w:trHeight w:val="866" w:hRule="atLeast"/>
          <w:jc w:val="center"/>
        </w:trPr>
        <w:tc>
          <w:tcPr>
            <w:tcW w:w="3073"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本年新制作数量</w:t>
            </w:r>
          </w:p>
        </w:tc>
        <w:tc>
          <w:tcPr>
            <w:tcW w:w="1505" w:type="dxa"/>
            <w:tcBorders>
              <w:top w:val="single" w:color="auto" w:sz="8" w:space="0"/>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本年新</w:t>
            </w:r>
            <w:r>
              <w:rPr>
                <w:rFonts w:hint="eastAsia" w:ascii="宋体" w:hAnsi="宋体" w:cs="宋体"/>
                <w:color w:val="auto"/>
                <w:kern w:val="0"/>
                <w:sz w:val="24"/>
              </w:rPr>
              <w:br w:type="textWrapping"/>
            </w:r>
            <w:r>
              <w:rPr>
                <w:rFonts w:hint="eastAsia" w:ascii="宋体" w:hAnsi="宋体" w:cs="宋体"/>
                <w:color w:val="auto"/>
                <w:kern w:val="0"/>
                <w:sz w:val="24"/>
              </w:rPr>
              <w:t>公开数量</w:t>
            </w:r>
          </w:p>
        </w:tc>
        <w:tc>
          <w:tcPr>
            <w:tcW w:w="201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hint="eastAsia" w:ascii="宋体" w:hAnsi="宋体" w:cs="宋体"/>
                <w:color w:val="auto"/>
                <w:kern w:val="0"/>
                <w:sz w:val="24"/>
              </w:rPr>
            </w:pPr>
            <w:r>
              <w:rPr>
                <w:rFonts w:hint="eastAsia" w:ascii="宋体" w:hAnsi="宋体" w:cs="宋体"/>
                <w:color w:val="auto"/>
                <w:kern w:val="0"/>
                <w:sz w:val="24"/>
              </w:rPr>
              <w:t>对外公开</w:t>
            </w:r>
          </w:p>
          <w:p>
            <w:pPr>
              <w:widowControl/>
              <w:jc w:val="center"/>
              <w:rPr>
                <w:rFonts w:ascii="宋体" w:hAnsi="宋体" w:cs="宋体"/>
                <w:color w:val="auto"/>
                <w:kern w:val="0"/>
                <w:sz w:val="24"/>
              </w:rPr>
            </w:pPr>
            <w:r>
              <w:rPr>
                <w:rFonts w:hint="eastAsia" w:ascii="宋体" w:hAnsi="宋体" w:cs="宋体"/>
                <w:color w:val="auto"/>
                <w:kern w:val="0"/>
                <w:sz w:val="24"/>
              </w:rPr>
              <w:t>总数量</w:t>
            </w:r>
          </w:p>
        </w:tc>
      </w:tr>
      <w:tr>
        <w:tblPrEx>
          <w:tblCellMar>
            <w:top w:w="0" w:type="dxa"/>
            <w:left w:w="0" w:type="dxa"/>
            <w:bottom w:w="0" w:type="dxa"/>
            <w:right w:w="0" w:type="dxa"/>
          </w:tblCellMar>
        </w:tblPrEx>
        <w:trPr>
          <w:trHeight w:val="399" w:hRule="atLeast"/>
          <w:jc w:val="center"/>
        </w:trPr>
        <w:tc>
          <w:tcPr>
            <w:tcW w:w="3073"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left"/>
              <w:rPr>
                <w:rFonts w:ascii="宋体" w:hAnsi="宋体" w:cs="宋体"/>
                <w:color w:val="auto"/>
                <w:kern w:val="0"/>
                <w:sz w:val="24"/>
              </w:rPr>
            </w:pPr>
            <w:r>
              <w:rPr>
                <w:rFonts w:hint="eastAsia" w:ascii="宋体" w:hAnsi="宋体" w:cs="宋体"/>
                <w:color w:val="auto"/>
                <w:kern w:val="0"/>
                <w:sz w:val="24"/>
              </w:rPr>
              <w:t>规章</w:t>
            </w:r>
          </w:p>
        </w:tc>
        <w:tc>
          <w:tcPr>
            <w:tcW w:w="2112"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lang w:val="en-US" w:eastAsia="zh-CN"/>
              </w:rPr>
              <w:t>0</w:t>
            </w:r>
            <w:r>
              <w:rPr>
                <w:rFonts w:hint="eastAsia" w:ascii="宋体" w:hAnsi="宋体" w:cs="宋体"/>
                <w:color w:val="auto"/>
                <w:kern w:val="0"/>
                <w:sz w:val="24"/>
              </w:rPr>
              <w:t>　</w:t>
            </w:r>
            <w:r>
              <w:rPr>
                <w:rFonts w:hint="eastAsia" w:ascii="宋体" w:hAnsi="宋体" w:cs="宋体"/>
                <w:color w:val="auto"/>
                <w:kern w:val="0"/>
                <w:sz w:val="24"/>
                <w:lang w:val="en-US" w:eastAsia="zh-CN"/>
              </w:rPr>
              <w:t xml:space="preserve"> </w:t>
            </w:r>
            <w:r>
              <w:rPr>
                <w:rFonts w:hint="eastAsia" w:ascii="宋体" w:hAnsi="宋体" w:cs="宋体"/>
                <w:color w:val="auto"/>
                <w:kern w:val="0"/>
                <w:sz w:val="24"/>
              </w:rPr>
              <w:t>　</w:t>
            </w:r>
          </w:p>
        </w:tc>
        <w:tc>
          <w:tcPr>
            <w:tcW w:w="1505"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hint="eastAsia" w:ascii="宋体" w:hAnsi="宋体" w:eastAsia="宋体" w:cs="宋体"/>
                <w:color w:val="auto"/>
                <w:kern w:val="0"/>
                <w:sz w:val="24"/>
                <w:lang w:val="en-US" w:eastAsia="zh-CN"/>
              </w:rPr>
            </w:pPr>
            <w:r>
              <w:rPr>
                <w:rFonts w:hint="eastAsia" w:ascii="宋体" w:hAnsi="宋体" w:cs="宋体"/>
                <w:color w:val="auto"/>
                <w:kern w:val="0"/>
                <w:sz w:val="24"/>
              </w:rPr>
              <w:t> </w:t>
            </w:r>
            <w:r>
              <w:rPr>
                <w:rFonts w:hint="eastAsia" w:ascii="宋体" w:hAnsi="宋体" w:cs="宋体"/>
                <w:color w:val="auto"/>
                <w:kern w:val="0"/>
                <w:sz w:val="24"/>
                <w:lang w:val="en-US" w:eastAsia="zh-CN"/>
              </w:rPr>
              <w:t>0</w:t>
            </w:r>
          </w:p>
        </w:tc>
        <w:tc>
          <w:tcPr>
            <w:tcW w:w="201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hint="eastAsia" w:ascii="宋体" w:hAnsi="宋体" w:eastAsia="宋体" w:cs="宋体"/>
                <w:color w:val="auto"/>
                <w:kern w:val="0"/>
                <w:sz w:val="24"/>
                <w:lang w:val="en-US" w:eastAsia="zh-CN"/>
              </w:rPr>
            </w:pPr>
            <w:r>
              <w:rPr>
                <w:rFonts w:hint="eastAsia" w:ascii="宋体" w:hAnsi="宋体" w:cs="宋体"/>
                <w:color w:val="auto"/>
                <w:kern w:val="0"/>
                <w:sz w:val="24"/>
              </w:rPr>
              <w:t>　</w:t>
            </w:r>
            <w:r>
              <w:rPr>
                <w:rFonts w:hint="eastAsia" w:ascii="宋体" w:hAnsi="宋体" w:cs="宋体"/>
                <w:color w:val="auto"/>
                <w:kern w:val="0"/>
                <w:sz w:val="24"/>
                <w:lang w:val="en-US" w:eastAsia="zh-CN"/>
              </w:rPr>
              <w:t>0</w:t>
            </w:r>
          </w:p>
        </w:tc>
      </w:tr>
      <w:tr>
        <w:tblPrEx>
          <w:tblCellMar>
            <w:top w:w="0" w:type="dxa"/>
            <w:left w:w="0" w:type="dxa"/>
            <w:bottom w:w="0" w:type="dxa"/>
            <w:right w:w="0" w:type="dxa"/>
          </w:tblCellMar>
        </w:tblPrEx>
        <w:trPr>
          <w:trHeight w:val="404" w:hRule="atLeast"/>
          <w:jc w:val="center"/>
        </w:trPr>
        <w:tc>
          <w:tcPr>
            <w:tcW w:w="3073"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left"/>
              <w:rPr>
                <w:rFonts w:ascii="宋体" w:hAnsi="宋体" w:cs="宋体"/>
                <w:color w:val="auto"/>
                <w:kern w:val="0"/>
                <w:sz w:val="24"/>
              </w:rPr>
            </w:pPr>
            <w:r>
              <w:rPr>
                <w:rFonts w:hint="eastAsia" w:ascii="宋体" w:hAnsi="宋体" w:cs="宋体"/>
                <w:color w:val="auto"/>
                <w:kern w:val="0"/>
                <w:sz w:val="24"/>
              </w:rPr>
              <w:t>规范性文件</w:t>
            </w:r>
          </w:p>
        </w:tc>
        <w:tc>
          <w:tcPr>
            <w:tcW w:w="2112"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lang w:val="en-US" w:eastAsia="zh-CN"/>
              </w:rPr>
              <w:t>0</w:t>
            </w:r>
            <w:r>
              <w:rPr>
                <w:rFonts w:hint="eastAsia" w:ascii="宋体" w:hAnsi="宋体" w:cs="宋体"/>
                <w:color w:val="auto"/>
                <w:kern w:val="0"/>
                <w:sz w:val="24"/>
              </w:rPr>
              <w:t>　</w:t>
            </w:r>
          </w:p>
        </w:tc>
        <w:tc>
          <w:tcPr>
            <w:tcW w:w="1505"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hint="eastAsia" w:ascii="宋体" w:hAnsi="宋体" w:eastAsia="宋体" w:cs="宋体"/>
                <w:color w:val="auto"/>
                <w:kern w:val="0"/>
                <w:sz w:val="24"/>
                <w:lang w:val="en-US" w:eastAsia="zh-CN"/>
              </w:rPr>
            </w:pPr>
            <w:r>
              <w:rPr>
                <w:rFonts w:hint="eastAsia" w:ascii="宋体" w:hAnsi="宋体" w:eastAsia="宋体" w:cs="宋体"/>
                <w:color w:val="auto"/>
                <w:kern w:val="0"/>
                <w:sz w:val="24"/>
                <w:lang w:val="en-US" w:eastAsia="zh-CN"/>
              </w:rPr>
              <w:t xml:space="preserve">  0</w:t>
            </w:r>
          </w:p>
        </w:tc>
        <w:tc>
          <w:tcPr>
            <w:tcW w:w="201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lang w:val="en-US" w:eastAsia="zh-CN"/>
              </w:rPr>
              <w:t xml:space="preserve">  0</w:t>
            </w:r>
          </w:p>
        </w:tc>
      </w:tr>
      <w:tr>
        <w:tblPrEx>
          <w:tblCellMar>
            <w:top w:w="0" w:type="dxa"/>
            <w:left w:w="0" w:type="dxa"/>
            <w:bottom w:w="0" w:type="dxa"/>
            <w:right w:w="0" w:type="dxa"/>
          </w:tblCellMar>
        </w:tblPrEx>
        <w:trPr>
          <w:trHeight w:val="480"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第二十条第（五）项</w:t>
            </w:r>
          </w:p>
        </w:tc>
      </w:tr>
      <w:tr>
        <w:tblPrEx>
          <w:tblCellMar>
            <w:top w:w="0" w:type="dxa"/>
            <w:left w:w="0" w:type="dxa"/>
            <w:bottom w:w="0" w:type="dxa"/>
            <w:right w:w="0" w:type="dxa"/>
          </w:tblCellMar>
        </w:tblPrEx>
        <w:trPr>
          <w:trHeight w:val="516" w:hRule="atLeast"/>
          <w:jc w:val="center"/>
        </w:trPr>
        <w:tc>
          <w:tcPr>
            <w:tcW w:w="3073"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上一年项目数量</w:t>
            </w:r>
          </w:p>
        </w:tc>
        <w:tc>
          <w:tcPr>
            <w:tcW w:w="1505" w:type="dxa"/>
            <w:tcBorders>
              <w:top w:val="single" w:color="auto" w:sz="8" w:space="0"/>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本年增/减</w:t>
            </w:r>
          </w:p>
        </w:tc>
        <w:tc>
          <w:tcPr>
            <w:tcW w:w="201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处理决定数量</w:t>
            </w:r>
          </w:p>
        </w:tc>
      </w:tr>
      <w:tr>
        <w:tblPrEx>
          <w:tblCellMar>
            <w:top w:w="0" w:type="dxa"/>
            <w:left w:w="0" w:type="dxa"/>
            <w:bottom w:w="0" w:type="dxa"/>
            <w:right w:w="0" w:type="dxa"/>
          </w:tblCellMar>
        </w:tblPrEx>
        <w:trPr>
          <w:trHeight w:val="455" w:hRule="atLeast"/>
          <w:jc w:val="center"/>
        </w:trPr>
        <w:tc>
          <w:tcPr>
            <w:tcW w:w="3073"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left"/>
              <w:rPr>
                <w:rFonts w:ascii="宋体" w:hAnsi="宋体" w:cs="宋体"/>
                <w:color w:val="auto"/>
                <w:kern w:val="0"/>
                <w:sz w:val="24"/>
              </w:rPr>
            </w:pPr>
            <w:r>
              <w:rPr>
                <w:rFonts w:hint="eastAsia" w:ascii="宋体" w:hAnsi="宋体" w:cs="宋体"/>
                <w:color w:val="auto"/>
                <w:kern w:val="0"/>
                <w:sz w:val="24"/>
              </w:rPr>
              <w:t>行政许可</w:t>
            </w:r>
          </w:p>
        </w:tc>
        <w:tc>
          <w:tcPr>
            <w:tcW w:w="2112"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lang w:val="en-US" w:eastAsia="zh-CN"/>
              </w:rPr>
              <w:t>0</w:t>
            </w:r>
            <w:r>
              <w:rPr>
                <w:rFonts w:hint="eastAsia" w:ascii="宋体" w:hAnsi="宋体" w:cs="宋体"/>
                <w:color w:val="auto"/>
                <w:kern w:val="0"/>
                <w:sz w:val="24"/>
              </w:rPr>
              <w:t>　</w:t>
            </w:r>
          </w:p>
        </w:tc>
        <w:tc>
          <w:tcPr>
            <w:tcW w:w="1505"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lang w:val="en-US" w:eastAsia="zh-CN"/>
              </w:rPr>
              <w:t>0</w:t>
            </w:r>
            <w:r>
              <w:rPr>
                <w:rFonts w:hint="eastAsia" w:ascii="宋体" w:hAnsi="宋体" w:cs="宋体"/>
                <w:color w:val="auto"/>
                <w:kern w:val="0"/>
                <w:sz w:val="24"/>
              </w:rPr>
              <w:t>　</w:t>
            </w:r>
          </w:p>
        </w:tc>
        <w:tc>
          <w:tcPr>
            <w:tcW w:w="201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lang w:val="en-US" w:eastAsia="zh-CN"/>
              </w:rPr>
              <w:t>0</w:t>
            </w:r>
            <w:r>
              <w:rPr>
                <w:rFonts w:hint="eastAsia" w:ascii="宋体" w:hAnsi="宋体" w:cs="宋体"/>
                <w:color w:val="auto"/>
                <w:kern w:val="0"/>
                <w:sz w:val="24"/>
              </w:rPr>
              <w:t>　</w:t>
            </w:r>
          </w:p>
        </w:tc>
      </w:tr>
      <w:tr>
        <w:tblPrEx>
          <w:tblCellMar>
            <w:top w:w="0" w:type="dxa"/>
            <w:left w:w="0" w:type="dxa"/>
            <w:bottom w:w="0" w:type="dxa"/>
            <w:right w:w="0" w:type="dxa"/>
          </w:tblCellMar>
        </w:tblPrEx>
        <w:trPr>
          <w:trHeight w:val="608" w:hRule="atLeast"/>
          <w:jc w:val="center"/>
        </w:trPr>
        <w:tc>
          <w:tcPr>
            <w:tcW w:w="3073"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left"/>
              <w:rPr>
                <w:rFonts w:ascii="宋体" w:hAnsi="宋体" w:cs="宋体"/>
                <w:color w:val="auto"/>
                <w:kern w:val="0"/>
                <w:sz w:val="24"/>
              </w:rPr>
            </w:pPr>
            <w:r>
              <w:rPr>
                <w:rFonts w:hint="eastAsia" w:ascii="宋体" w:hAnsi="宋体" w:cs="宋体"/>
                <w:color w:val="auto"/>
                <w:kern w:val="0"/>
                <w:sz w:val="24"/>
              </w:rPr>
              <w:t>其他对外管理服务事项</w:t>
            </w:r>
          </w:p>
        </w:tc>
        <w:tc>
          <w:tcPr>
            <w:tcW w:w="2112"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hint="default" w:ascii="宋体" w:hAnsi="宋体" w:eastAsia="宋体" w:cs="宋体"/>
                <w:color w:val="auto"/>
                <w:kern w:val="0"/>
                <w:sz w:val="24"/>
                <w:lang w:val="en-US" w:eastAsia="zh-CN"/>
              </w:rPr>
            </w:pPr>
            <w:r>
              <w:rPr>
                <w:rFonts w:hint="eastAsia" w:ascii="宋体" w:hAnsi="宋体" w:cs="宋体"/>
                <w:color w:val="auto"/>
                <w:kern w:val="0"/>
                <w:sz w:val="24"/>
              </w:rPr>
              <w:t>　</w:t>
            </w:r>
            <w:r>
              <w:rPr>
                <w:rFonts w:hint="eastAsia" w:ascii="宋体" w:hAnsi="宋体" w:cs="宋体"/>
                <w:color w:val="auto"/>
                <w:kern w:val="0"/>
                <w:sz w:val="24"/>
                <w:lang w:val="en-US" w:eastAsia="zh-CN"/>
              </w:rPr>
              <w:t>16</w:t>
            </w:r>
          </w:p>
        </w:tc>
        <w:tc>
          <w:tcPr>
            <w:tcW w:w="1505"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hint="eastAsia" w:ascii="宋体" w:hAnsi="宋体" w:eastAsia="宋体" w:cs="宋体"/>
                <w:color w:val="auto"/>
                <w:kern w:val="0"/>
                <w:sz w:val="24"/>
                <w:lang w:val="en-US" w:eastAsia="zh-CN"/>
              </w:rPr>
            </w:pPr>
            <w:r>
              <w:rPr>
                <w:rFonts w:hint="eastAsia" w:ascii="宋体" w:hAnsi="宋体" w:cs="宋体"/>
                <w:color w:val="auto"/>
                <w:kern w:val="0"/>
                <w:sz w:val="24"/>
              </w:rPr>
              <w:t>　</w:t>
            </w:r>
            <w:r>
              <w:rPr>
                <w:rFonts w:hint="eastAsia" w:ascii="宋体" w:hAnsi="宋体" w:cs="宋体"/>
                <w:color w:val="auto"/>
                <w:kern w:val="0"/>
                <w:sz w:val="24"/>
                <w:lang w:val="en-US" w:eastAsia="zh-CN"/>
              </w:rPr>
              <w:t>5</w:t>
            </w:r>
          </w:p>
        </w:tc>
        <w:tc>
          <w:tcPr>
            <w:tcW w:w="201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lang w:val="en-US" w:eastAsia="zh-CN"/>
              </w:rPr>
              <w:t>0　</w:t>
            </w:r>
          </w:p>
        </w:tc>
      </w:tr>
      <w:tr>
        <w:tblPrEx>
          <w:tblCellMar>
            <w:top w:w="0" w:type="dxa"/>
            <w:left w:w="0" w:type="dxa"/>
            <w:bottom w:w="0" w:type="dxa"/>
            <w:right w:w="0" w:type="dxa"/>
          </w:tblCellMar>
        </w:tblPrEx>
        <w:trPr>
          <w:trHeight w:val="497"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第二十条第（六）项</w:t>
            </w:r>
          </w:p>
        </w:tc>
      </w:tr>
      <w:tr>
        <w:tblPrEx>
          <w:tblCellMar>
            <w:top w:w="0" w:type="dxa"/>
            <w:left w:w="0" w:type="dxa"/>
            <w:bottom w:w="0" w:type="dxa"/>
            <w:right w:w="0" w:type="dxa"/>
          </w:tblCellMar>
        </w:tblPrEx>
        <w:trPr>
          <w:trHeight w:val="547" w:hRule="atLeast"/>
          <w:jc w:val="center"/>
        </w:trPr>
        <w:tc>
          <w:tcPr>
            <w:tcW w:w="3073"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信息内容</w:t>
            </w:r>
          </w:p>
        </w:tc>
        <w:tc>
          <w:tcPr>
            <w:tcW w:w="2112" w:type="dxa"/>
            <w:gridSpan w:val="2"/>
            <w:tcBorders>
              <w:top w:val="single" w:color="auto" w:sz="8" w:space="0"/>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上一年项目数量</w:t>
            </w:r>
          </w:p>
        </w:tc>
        <w:tc>
          <w:tcPr>
            <w:tcW w:w="1505" w:type="dxa"/>
            <w:tcBorders>
              <w:top w:val="single" w:color="auto" w:sz="8" w:space="0"/>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本年增/减</w:t>
            </w:r>
          </w:p>
        </w:tc>
        <w:tc>
          <w:tcPr>
            <w:tcW w:w="201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处理决定数量</w:t>
            </w:r>
          </w:p>
        </w:tc>
      </w:tr>
      <w:tr>
        <w:tblPrEx>
          <w:tblCellMar>
            <w:top w:w="0" w:type="dxa"/>
            <w:left w:w="0" w:type="dxa"/>
            <w:bottom w:w="0" w:type="dxa"/>
            <w:right w:w="0" w:type="dxa"/>
          </w:tblCellMar>
        </w:tblPrEx>
        <w:trPr>
          <w:trHeight w:val="430" w:hRule="atLeast"/>
          <w:jc w:val="center"/>
        </w:trPr>
        <w:tc>
          <w:tcPr>
            <w:tcW w:w="3073"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left"/>
              <w:rPr>
                <w:rFonts w:ascii="宋体" w:hAnsi="宋体" w:cs="宋体"/>
                <w:color w:val="auto"/>
                <w:kern w:val="0"/>
                <w:sz w:val="24"/>
              </w:rPr>
            </w:pPr>
            <w:r>
              <w:rPr>
                <w:rFonts w:hint="eastAsia" w:ascii="宋体" w:hAnsi="宋体" w:cs="宋体"/>
                <w:color w:val="auto"/>
                <w:kern w:val="0"/>
                <w:sz w:val="24"/>
              </w:rPr>
              <w:t>行政处罚</w:t>
            </w:r>
          </w:p>
        </w:tc>
        <w:tc>
          <w:tcPr>
            <w:tcW w:w="2112"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hint="eastAsia" w:ascii="宋体" w:hAnsi="宋体" w:eastAsia="宋体" w:cs="宋体"/>
                <w:color w:val="auto"/>
                <w:kern w:val="0"/>
                <w:sz w:val="24"/>
                <w:lang w:val="en-US" w:eastAsia="zh-CN"/>
              </w:rPr>
            </w:pPr>
            <w:r>
              <w:rPr>
                <w:rFonts w:hint="eastAsia" w:ascii="宋体" w:hAnsi="宋体" w:cs="宋体"/>
                <w:color w:val="auto"/>
                <w:kern w:val="0"/>
                <w:sz w:val="24"/>
              </w:rPr>
              <w:t>　</w:t>
            </w:r>
            <w:r>
              <w:rPr>
                <w:rFonts w:hint="eastAsia" w:ascii="宋体" w:hAnsi="宋体" w:cs="宋体"/>
                <w:color w:val="auto"/>
                <w:kern w:val="0"/>
                <w:sz w:val="24"/>
                <w:lang w:val="en-US" w:eastAsia="zh-CN"/>
              </w:rPr>
              <w:t>0</w:t>
            </w:r>
          </w:p>
        </w:tc>
        <w:tc>
          <w:tcPr>
            <w:tcW w:w="1505"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hint="eastAsia" w:ascii="宋体" w:hAnsi="宋体" w:eastAsia="宋体" w:cs="宋体"/>
                <w:color w:val="auto"/>
                <w:kern w:val="0"/>
                <w:sz w:val="24"/>
                <w:lang w:val="en-US" w:eastAsia="zh-CN"/>
              </w:rPr>
            </w:pPr>
            <w:r>
              <w:rPr>
                <w:rFonts w:hint="eastAsia" w:ascii="宋体" w:hAnsi="宋体" w:cs="宋体"/>
                <w:color w:val="auto"/>
                <w:kern w:val="0"/>
                <w:sz w:val="24"/>
              </w:rPr>
              <w:t>　</w:t>
            </w:r>
            <w:r>
              <w:rPr>
                <w:rFonts w:hint="eastAsia" w:ascii="宋体" w:hAnsi="宋体" w:cs="宋体"/>
                <w:color w:val="auto"/>
                <w:kern w:val="0"/>
                <w:sz w:val="24"/>
                <w:lang w:val="en-US" w:eastAsia="zh-CN"/>
              </w:rPr>
              <w:t>0</w:t>
            </w:r>
          </w:p>
        </w:tc>
        <w:tc>
          <w:tcPr>
            <w:tcW w:w="201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hint="eastAsia" w:ascii="宋体" w:hAnsi="宋体" w:eastAsia="宋体" w:cs="宋体"/>
                <w:color w:val="auto"/>
                <w:kern w:val="0"/>
                <w:sz w:val="24"/>
                <w:lang w:val="en-US" w:eastAsia="zh-CN"/>
              </w:rPr>
            </w:pPr>
            <w:r>
              <w:rPr>
                <w:rFonts w:hint="eastAsia" w:ascii="宋体" w:hAnsi="宋体" w:cs="宋体"/>
                <w:color w:val="auto"/>
                <w:kern w:val="0"/>
                <w:sz w:val="24"/>
              </w:rPr>
              <w:t>　</w:t>
            </w:r>
            <w:r>
              <w:rPr>
                <w:rFonts w:hint="eastAsia" w:ascii="宋体" w:hAnsi="宋体" w:cs="宋体"/>
                <w:color w:val="auto"/>
                <w:kern w:val="0"/>
                <w:sz w:val="24"/>
                <w:lang w:val="en-US" w:eastAsia="zh-CN"/>
              </w:rPr>
              <w:t>0</w:t>
            </w:r>
          </w:p>
        </w:tc>
      </w:tr>
      <w:tr>
        <w:tblPrEx>
          <w:tblCellMar>
            <w:top w:w="0" w:type="dxa"/>
            <w:left w:w="0" w:type="dxa"/>
            <w:bottom w:w="0" w:type="dxa"/>
            <w:right w:w="0" w:type="dxa"/>
          </w:tblCellMar>
        </w:tblPrEx>
        <w:trPr>
          <w:trHeight w:val="409" w:hRule="atLeast"/>
          <w:jc w:val="center"/>
        </w:trPr>
        <w:tc>
          <w:tcPr>
            <w:tcW w:w="3073"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left"/>
              <w:rPr>
                <w:rFonts w:ascii="宋体" w:hAnsi="宋体" w:cs="宋体"/>
                <w:color w:val="auto"/>
                <w:kern w:val="0"/>
                <w:sz w:val="24"/>
              </w:rPr>
            </w:pPr>
            <w:r>
              <w:rPr>
                <w:rFonts w:hint="eastAsia" w:ascii="宋体" w:hAnsi="宋体" w:cs="宋体"/>
                <w:color w:val="auto"/>
                <w:kern w:val="0"/>
                <w:sz w:val="24"/>
              </w:rPr>
              <w:t>行政强制</w:t>
            </w:r>
          </w:p>
        </w:tc>
        <w:tc>
          <w:tcPr>
            <w:tcW w:w="2112"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hint="eastAsia" w:ascii="宋体" w:hAnsi="宋体" w:eastAsia="宋体" w:cs="宋体"/>
                <w:color w:val="auto"/>
                <w:kern w:val="0"/>
                <w:sz w:val="24"/>
                <w:lang w:val="en-US" w:eastAsia="zh-CN"/>
              </w:rPr>
            </w:pPr>
            <w:r>
              <w:rPr>
                <w:rFonts w:hint="eastAsia" w:ascii="宋体" w:hAnsi="宋体" w:cs="宋体"/>
                <w:color w:val="auto"/>
                <w:kern w:val="0"/>
                <w:sz w:val="24"/>
              </w:rPr>
              <w:t>　</w:t>
            </w:r>
            <w:r>
              <w:rPr>
                <w:rFonts w:hint="eastAsia" w:ascii="宋体" w:hAnsi="宋体" w:cs="宋体"/>
                <w:color w:val="auto"/>
                <w:kern w:val="0"/>
                <w:sz w:val="24"/>
                <w:lang w:val="en-US" w:eastAsia="zh-CN"/>
              </w:rPr>
              <w:t>0</w:t>
            </w:r>
          </w:p>
        </w:tc>
        <w:tc>
          <w:tcPr>
            <w:tcW w:w="1505"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lang w:val="en-US" w:eastAsia="zh-CN"/>
              </w:rPr>
              <w:t xml:space="preserve">  0</w:t>
            </w:r>
            <w:r>
              <w:rPr>
                <w:rFonts w:hint="eastAsia" w:ascii="宋体" w:hAnsi="宋体" w:cs="宋体"/>
                <w:color w:val="auto"/>
                <w:kern w:val="0"/>
                <w:sz w:val="24"/>
              </w:rPr>
              <w:t>　</w:t>
            </w:r>
          </w:p>
        </w:tc>
        <w:tc>
          <w:tcPr>
            <w:tcW w:w="2018"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lang w:val="en-US" w:eastAsia="zh-CN"/>
              </w:rPr>
              <w:t xml:space="preserve">  0</w:t>
            </w:r>
            <w:r>
              <w:rPr>
                <w:rFonts w:hint="eastAsia" w:ascii="宋体" w:hAnsi="宋体" w:cs="宋体"/>
                <w:color w:val="auto"/>
                <w:kern w:val="0"/>
                <w:sz w:val="24"/>
              </w:rPr>
              <w:t>　</w:t>
            </w:r>
          </w:p>
        </w:tc>
      </w:tr>
      <w:tr>
        <w:tblPrEx>
          <w:tblCellMar>
            <w:top w:w="0" w:type="dxa"/>
            <w:left w:w="0" w:type="dxa"/>
            <w:bottom w:w="0" w:type="dxa"/>
            <w:right w:w="0" w:type="dxa"/>
          </w:tblCellMar>
        </w:tblPrEx>
        <w:trPr>
          <w:trHeight w:val="474"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第二十条第（八）项</w:t>
            </w:r>
          </w:p>
        </w:tc>
      </w:tr>
      <w:tr>
        <w:tblPrEx>
          <w:tblCellMar>
            <w:top w:w="0" w:type="dxa"/>
            <w:left w:w="0" w:type="dxa"/>
            <w:bottom w:w="0" w:type="dxa"/>
            <w:right w:w="0" w:type="dxa"/>
          </w:tblCellMar>
        </w:tblPrEx>
        <w:trPr>
          <w:trHeight w:val="447" w:hRule="atLeast"/>
          <w:jc w:val="center"/>
        </w:trPr>
        <w:tc>
          <w:tcPr>
            <w:tcW w:w="3073"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信息内容</w:t>
            </w:r>
          </w:p>
        </w:tc>
        <w:tc>
          <w:tcPr>
            <w:tcW w:w="2112"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left"/>
              <w:rPr>
                <w:rFonts w:ascii="宋体" w:hAnsi="宋体" w:cs="宋体"/>
                <w:color w:val="auto"/>
                <w:kern w:val="0"/>
                <w:sz w:val="24"/>
              </w:rPr>
            </w:pPr>
            <w:r>
              <w:rPr>
                <w:rFonts w:hint="eastAsia" w:ascii="宋体" w:hAnsi="宋体" w:cs="宋体"/>
                <w:color w:val="auto"/>
                <w:kern w:val="0"/>
                <w:sz w:val="24"/>
              </w:rPr>
              <w:t>上一年项目数量</w:t>
            </w:r>
          </w:p>
        </w:tc>
        <w:tc>
          <w:tcPr>
            <w:tcW w:w="3523" w:type="dxa"/>
            <w:gridSpan w:val="2"/>
            <w:tcBorders>
              <w:top w:val="single" w:color="auto" w:sz="8" w:space="0"/>
              <w:left w:val="nil"/>
              <w:bottom w:val="single" w:color="auto" w:sz="8" w:space="0"/>
              <w:right w:val="single" w:color="000000"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本年增/减</w:t>
            </w:r>
          </w:p>
        </w:tc>
      </w:tr>
      <w:tr>
        <w:tblPrEx>
          <w:tblCellMar>
            <w:top w:w="0" w:type="dxa"/>
            <w:left w:w="0" w:type="dxa"/>
            <w:bottom w:w="0" w:type="dxa"/>
            <w:right w:w="0" w:type="dxa"/>
          </w:tblCellMar>
        </w:tblPrEx>
        <w:trPr>
          <w:trHeight w:val="440" w:hRule="atLeast"/>
          <w:jc w:val="center"/>
        </w:trPr>
        <w:tc>
          <w:tcPr>
            <w:tcW w:w="3073"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left"/>
              <w:rPr>
                <w:rFonts w:ascii="宋体" w:hAnsi="宋体" w:cs="宋体"/>
                <w:color w:val="auto"/>
                <w:kern w:val="0"/>
                <w:sz w:val="24"/>
              </w:rPr>
            </w:pPr>
            <w:r>
              <w:rPr>
                <w:rFonts w:hint="eastAsia" w:ascii="宋体" w:hAnsi="宋体" w:cs="宋体"/>
                <w:color w:val="auto"/>
                <w:kern w:val="0"/>
                <w:sz w:val="24"/>
              </w:rPr>
              <w:t>行政事业性收费</w:t>
            </w:r>
          </w:p>
        </w:tc>
        <w:tc>
          <w:tcPr>
            <w:tcW w:w="2112"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lang w:val="en-US" w:eastAsia="zh-CN"/>
              </w:rPr>
              <w:t>0</w:t>
            </w:r>
            <w:r>
              <w:rPr>
                <w:rFonts w:hint="eastAsia" w:ascii="宋体" w:hAnsi="宋体" w:cs="宋体"/>
                <w:color w:val="auto"/>
                <w:kern w:val="0"/>
                <w:sz w:val="24"/>
              </w:rPr>
              <w:t>　</w:t>
            </w:r>
          </w:p>
        </w:tc>
        <w:tc>
          <w:tcPr>
            <w:tcW w:w="3523" w:type="dxa"/>
            <w:gridSpan w:val="2"/>
            <w:tcBorders>
              <w:top w:val="nil"/>
              <w:left w:val="nil"/>
              <w:bottom w:val="single" w:color="auto" w:sz="8" w:space="0"/>
              <w:right w:val="single" w:color="000000" w:sz="8" w:space="0"/>
            </w:tcBorders>
            <w:shd w:val="clear" w:color="auto" w:fill="FFFFFF"/>
            <w:noWrap w:val="0"/>
            <w:tcMar>
              <w:left w:w="108" w:type="dxa"/>
              <w:right w:w="108" w:type="dxa"/>
            </w:tcMar>
            <w:vAlign w:val="center"/>
          </w:tcPr>
          <w:p>
            <w:pPr>
              <w:widowControl/>
              <w:jc w:val="center"/>
              <w:rPr>
                <w:rFonts w:hint="eastAsia" w:ascii="宋体" w:hAnsi="宋体" w:eastAsia="宋体" w:cs="宋体"/>
                <w:color w:val="auto"/>
                <w:kern w:val="0"/>
                <w:sz w:val="24"/>
                <w:lang w:val="en-US" w:eastAsia="zh-CN"/>
              </w:rPr>
            </w:pPr>
            <w:r>
              <w:rPr>
                <w:rFonts w:hint="eastAsia" w:ascii="宋体" w:hAnsi="宋体" w:cs="宋体"/>
                <w:color w:val="auto"/>
                <w:kern w:val="0"/>
                <w:sz w:val="24"/>
              </w:rPr>
              <w:t> </w:t>
            </w:r>
            <w:r>
              <w:rPr>
                <w:rFonts w:hint="eastAsia" w:ascii="宋体" w:hAnsi="宋体" w:cs="宋体"/>
                <w:color w:val="auto"/>
                <w:kern w:val="0"/>
                <w:sz w:val="24"/>
                <w:lang w:val="en-US" w:eastAsia="zh-CN"/>
              </w:rPr>
              <w:t>0</w:t>
            </w:r>
          </w:p>
        </w:tc>
      </w:tr>
      <w:tr>
        <w:tblPrEx>
          <w:tblCellMar>
            <w:top w:w="0" w:type="dxa"/>
            <w:left w:w="0" w:type="dxa"/>
            <w:bottom w:w="0" w:type="dxa"/>
            <w:right w:w="0" w:type="dxa"/>
          </w:tblCellMar>
        </w:tblPrEx>
        <w:trPr>
          <w:trHeight w:val="476" w:hRule="atLeast"/>
          <w:jc w:val="center"/>
        </w:trPr>
        <w:tc>
          <w:tcPr>
            <w:tcW w:w="8708" w:type="dxa"/>
            <w:gridSpan w:val="5"/>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第二十条第（九）项</w:t>
            </w:r>
          </w:p>
        </w:tc>
      </w:tr>
      <w:tr>
        <w:tblPrEx>
          <w:tblCellMar>
            <w:top w:w="0" w:type="dxa"/>
            <w:left w:w="0" w:type="dxa"/>
            <w:bottom w:w="0" w:type="dxa"/>
            <w:right w:w="0" w:type="dxa"/>
          </w:tblCellMar>
        </w:tblPrEx>
        <w:trPr>
          <w:trHeight w:val="427" w:hRule="atLeast"/>
          <w:jc w:val="center"/>
        </w:trPr>
        <w:tc>
          <w:tcPr>
            <w:tcW w:w="3090" w:type="dxa"/>
            <w:gridSpan w:val="2"/>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信息内容</w:t>
            </w:r>
          </w:p>
        </w:tc>
        <w:tc>
          <w:tcPr>
            <w:tcW w:w="2095"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采购项目数量</w:t>
            </w:r>
          </w:p>
        </w:tc>
        <w:tc>
          <w:tcPr>
            <w:tcW w:w="3523" w:type="dxa"/>
            <w:gridSpan w:val="2"/>
            <w:tcBorders>
              <w:top w:val="single" w:color="auto" w:sz="8" w:space="0"/>
              <w:left w:val="nil"/>
              <w:bottom w:val="single" w:color="auto" w:sz="8" w:space="0"/>
              <w:right w:val="single" w:color="000000" w:sz="8" w:space="0"/>
            </w:tcBorders>
            <w:shd w:val="clear" w:color="auto" w:fill="FFFFFF"/>
            <w:noWrap w:val="0"/>
            <w:tcMar>
              <w:left w:w="108" w:type="dxa"/>
              <w:right w:w="108" w:type="dxa"/>
            </w:tcMar>
            <w:vAlign w:val="center"/>
          </w:tcPr>
          <w:p>
            <w:pPr>
              <w:widowControl/>
              <w:jc w:val="center"/>
              <w:rPr>
                <w:rFonts w:ascii="宋体" w:hAnsi="宋体" w:cs="宋体"/>
                <w:color w:val="auto"/>
                <w:kern w:val="0"/>
                <w:sz w:val="24"/>
              </w:rPr>
            </w:pPr>
            <w:r>
              <w:rPr>
                <w:rFonts w:hint="eastAsia" w:ascii="宋体" w:hAnsi="宋体" w:cs="宋体"/>
                <w:color w:val="auto"/>
                <w:kern w:val="0"/>
                <w:sz w:val="24"/>
              </w:rPr>
              <w:t>采购总金额</w:t>
            </w:r>
          </w:p>
        </w:tc>
      </w:tr>
      <w:tr>
        <w:tblPrEx>
          <w:tblCellMar>
            <w:top w:w="0" w:type="dxa"/>
            <w:left w:w="0" w:type="dxa"/>
            <w:bottom w:w="0" w:type="dxa"/>
            <w:right w:w="0" w:type="dxa"/>
          </w:tblCellMar>
        </w:tblPrEx>
        <w:trPr>
          <w:trHeight w:val="469" w:hRule="atLeast"/>
          <w:jc w:val="center"/>
        </w:trPr>
        <w:tc>
          <w:tcPr>
            <w:tcW w:w="3090" w:type="dxa"/>
            <w:gridSpan w:val="2"/>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widowControl/>
              <w:jc w:val="left"/>
              <w:rPr>
                <w:rFonts w:ascii="宋体" w:hAnsi="宋体" w:cs="宋体"/>
                <w:color w:val="auto"/>
                <w:kern w:val="0"/>
                <w:sz w:val="24"/>
              </w:rPr>
            </w:pPr>
            <w:r>
              <w:rPr>
                <w:rFonts w:hint="eastAsia" w:ascii="宋体" w:hAnsi="宋体" w:cs="宋体"/>
                <w:color w:val="auto"/>
                <w:kern w:val="0"/>
                <w:sz w:val="24"/>
              </w:rPr>
              <w:t>政府集中采购</w:t>
            </w:r>
          </w:p>
        </w:tc>
        <w:tc>
          <w:tcPr>
            <w:tcW w:w="2095"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widowControl/>
              <w:jc w:val="center"/>
              <w:rPr>
                <w:rFonts w:hint="eastAsia" w:ascii="宋体" w:hAnsi="宋体" w:eastAsia="宋体" w:cs="宋体"/>
                <w:color w:val="auto"/>
                <w:kern w:val="0"/>
                <w:sz w:val="24"/>
                <w:lang w:val="en-US" w:eastAsia="zh-CN"/>
              </w:rPr>
            </w:pPr>
            <w:r>
              <w:rPr>
                <w:rFonts w:hint="eastAsia" w:ascii="宋体" w:hAnsi="宋体" w:cs="宋体"/>
                <w:color w:val="auto"/>
                <w:kern w:val="0"/>
                <w:sz w:val="24"/>
              </w:rPr>
              <w:t>　</w:t>
            </w:r>
            <w:r>
              <w:rPr>
                <w:rFonts w:hint="eastAsia" w:ascii="宋体" w:hAnsi="宋体" w:cs="宋体"/>
                <w:color w:val="auto"/>
                <w:kern w:val="0"/>
                <w:sz w:val="24"/>
                <w:lang w:val="en-US" w:eastAsia="zh-CN"/>
              </w:rPr>
              <w:t>0</w:t>
            </w:r>
          </w:p>
        </w:tc>
        <w:tc>
          <w:tcPr>
            <w:tcW w:w="3523" w:type="dxa"/>
            <w:gridSpan w:val="2"/>
            <w:tcBorders>
              <w:top w:val="nil"/>
              <w:left w:val="nil"/>
              <w:bottom w:val="single" w:color="auto" w:sz="8" w:space="0"/>
              <w:right w:val="single" w:color="000000" w:sz="8" w:space="0"/>
            </w:tcBorders>
            <w:shd w:val="clear" w:color="auto" w:fill="FFFFFF"/>
            <w:noWrap w:val="0"/>
            <w:tcMar>
              <w:left w:w="108" w:type="dxa"/>
              <w:right w:w="108" w:type="dxa"/>
            </w:tcMar>
            <w:vAlign w:val="center"/>
          </w:tcPr>
          <w:p>
            <w:pPr>
              <w:jc w:val="center"/>
              <w:rPr>
                <w:rFonts w:hint="eastAsia" w:ascii="宋体" w:hAnsi="宋体" w:eastAsia="宋体" w:cs="宋体"/>
                <w:color w:val="auto"/>
                <w:kern w:val="0"/>
                <w:sz w:val="24"/>
                <w:lang w:val="en-US" w:eastAsia="zh-CN"/>
              </w:rPr>
            </w:pPr>
            <w:r>
              <w:rPr>
                <w:rFonts w:hint="eastAsia" w:ascii="宋体" w:hAnsi="宋体" w:cs="宋体"/>
                <w:color w:val="auto"/>
                <w:kern w:val="0"/>
                <w:sz w:val="24"/>
                <w:lang w:val="en-US" w:eastAsia="zh-CN"/>
              </w:rPr>
              <w:t>0</w:t>
            </w:r>
          </w:p>
        </w:tc>
      </w:tr>
    </w:tbl>
    <w:p>
      <w:pPr>
        <w:pStyle w:val="2"/>
        <w:widowControl/>
        <w:shd w:val="clear" w:color="auto" w:fill="FFFFFF"/>
        <w:spacing w:beforeAutospacing="0" w:after="240" w:afterAutospacing="0"/>
        <w:ind w:left="-199" w:leftChars="-95" w:firstLine="620"/>
        <w:jc w:val="both"/>
        <w:rPr>
          <w:rFonts w:ascii="黑体" w:hAnsi="黑体" w:eastAsia="黑体" w:cs="黑体"/>
          <w:color w:val="auto"/>
          <w:sz w:val="32"/>
          <w:szCs w:val="32"/>
        </w:rPr>
      </w:pPr>
      <w:r>
        <w:rPr>
          <w:rFonts w:hint="eastAsia" w:ascii="黑体" w:hAnsi="黑体" w:eastAsia="黑体" w:cs="黑体"/>
          <w:b/>
          <w:color w:val="auto"/>
          <w:sz w:val="32"/>
          <w:szCs w:val="32"/>
          <w:shd w:val="clear" w:color="auto" w:fill="FFFFFF"/>
        </w:rPr>
        <w:t>三、收到和处理政府信息公开申请情况</w:t>
      </w:r>
    </w:p>
    <w:tbl>
      <w:tblPr>
        <w:tblStyle w:val="3"/>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525"/>
        <w:gridCol w:w="1418"/>
        <w:gridCol w:w="2835"/>
        <w:gridCol w:w="850"/>
        <w:gridCol w:w="567"/>
        <w:gridCol w:w="567"/>
        <w:gridCol w:w="567"/>
        <w:gridCol w:w="567"/>
        <w:gridCol w:w="540"/>
        <w:gridCol w:w="63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13" w:hRule="atLeast"/>
          <w:jc w:val="center"/>
        </w:trPr>
        <w:tc>
          <w:tcPr>
            <w:tcW w:w="4778" w:type="dxa"/>
            <w:gridSpan w:val="3"/>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（本列数据的勾稽关系为：第一项加第二项之和，</w:t>
            </w:r>
          </w:p>
          <w:p>
            <w:pPr>
              <w:widowControl/>
              <w:jc w:val="center"/>
              <w:rPr>
                <w:color w:val="auto"/>
              </w:rPr>
            </w:pPr>
            <w:r>
              <w:rPr>
                <w:rFonts w:hint="eastAsia" w:ascii="宋体" w:hAnsi="宋体" w:eastAsia="宋体" w:cs="宋体"/>
                <w:color w:val="auto"/>
                <w:kern w:val="0"/>
                <w:sz w:val="20"/>
                <w:szCs w:val="20"/>
              </w:rPr>
              <w:t>等于第三项加第四项之和）</w:t>
            </w:r>
          </w:p>
        </w:tc>
        <w:tc>
          <w:tcPr>
            <w:tcW w:w="4293" w:type="dxa"/>
            <w:gridSpan w:val="7"/>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20" w:lineRule="exact"/>
              <w:jc w:val="center"/>
              <w:rPr>
                <w:color w:val="auto"/>
              </w:rPr>
            </w:pPr>
            <w:r>
              <w:rPr>
                <w:rFonts w:hint="eastAsia" w:ascii="宋体" w:hAnsi="宋体" w:eastAsia="宋体" w:cs="宋体"/>
                <w:color w:val="auto"/>
                <w:kern w:val="0"/>
                <w:sz w:val="20"/>
                <w:szCs w:val="20"/>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5" w:hRule="atLeast"/>
          <w:jc w:val="center"/>
        </w:trPr>
        <w:tc>
          <w:tcPr>
            <w:tcW w:w="47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jc w:val="center"/>
              <w:rPr>
                <w:rFonts w:ascii="宋体"/>
                <w:color w:val="auto"/>
                <w:sz w:val="24"/>
              </w:rPr>
            </w:pPr>
          </w:p>
        </w:tc>
        <w:tc>
          <w:tcPr>
            <w:tcW w:w="850"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jc w:val="center"/>
              <w:rPr>
                <w:color w:val="auto"/>
              </w:rPr>
            </w:pPr>
            <w:r>
              <w:rPr>
                <w:rFonts w:hint="eastAsia" w:ascii="宋体" w:hAnsi="宋体" w:eastAsia="宋体" w:cs="宋体"/>
                <w:color w:val="auto"/>
                <w:kern w:val="0"/>
                <w:sz w:val="20"/>
                <w:szCs w:val="20"/>
              </w:rPr>
              <w:t>自然人</w:t>
            </w:r>
          </w:p>
        </w:tc>
        <w:tc>
          <w:tcPr>
            <w:tcW w:w="2808"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20" w:lineRule="exact"/>
              <w:jc w:val="center"/>
              <w:rPr>
                <w:color w:val="auto"/>
              </w:rPr>
            </w:pPr>
            <w:r>
              <w:rPr>
                <w:rFonts w:hint="eastAsia" w:ascii="宋体" w:hAnsi="宋体" w:eastAsia="宋体" w:cs="宋体"/>
                <w:color w:val="auto"/>
                <w:kern w:val="0"/>
                <w:sz w:val="20"/>
                <w:szCs w:val="20"/>
              </w:rPr>
              <w:t>法人或其他组织</w:t>
            </w:r>
          </w:p>
        </w:tc>
        <w:tc>
          <w:tcPr>
            <w:tcW w:w="635"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jc w:val="center"/>
              <w:rPr>
                <w:color w:val="auto"/>
              </w:rPr>
            </w:pPr>
            <w:r>
              <w:rPr>
                <w:rFonts w:hint="eastAsia" w:ascii="宋体" w:hAnsi="宋体" w:eastAsia="宋体" w:cs="宋体"/>
                <w:color w:val="auto"/>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127" w:hRule="atLeast"/>
          <w:jc w:val="center"/>
        </w:trPr>
        <w:tc>
          <w:tcPr>
            <w:tcW w:w="4778"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jc w:val="center"/>
              <w:rPr>
                <w:rFonts w:ascii="宋体"/>
                <w:color w:val="auto"/>
                <w:sz w:val="24"/>
              </w:rPr>
            </w:pPr>
          </w:p>
        </w:tc>
        <w:tc>
          <w:tcPr>
            <w:tcW w:w="850" w:type="dxa"/>
            <w:vMerge w:val="continue"/>
            <w:tcBorders>
              <w:top w:val="nil"/>
              <w:left w:val="nil"/>
              <w:bottom w:val="single" w:color="auto" w:sz="8" w:space="0"/>
              <w:right w:val="single" w:color="auto" w:sz="8" w:space="0"/>
            </w:tcBorders>
            <w:noWrap w:val="0"/>
            <w:tcMar>
              <w:left w:w="108" w:type="dxa"/>
              <w:right w:w="108" w:type="dxa"/>
            </w:tcMar>
            <w:vAlign w:val="center"/>
          </w:tcPr>
          <w:p>
            <w:pPr>
              <w:jc w:val="center"/>
              <w:rPr>
                <w:rFonts w:ascii="宋体"/>
                <w:color w:val="auto"/>
                <w:sz w:val="24"/>
              </w:rPr>
            </w:pP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line="320" w:lineRule="exact"/>
              <w:ind w:left="-106" w:leftChars="-51" w:right="-107" w:rightChars="-51" w:hanging="1"/>
              <w:jc w:val="center"/>
              <w:rPr>
                <w:color w:val="auto"/>
              </w:rPr>
            </w:pPr>
            <w:r>
              <w:rPr>
                <w:rFonts w:hint="eastAsia" w:ascii="宋体" w:hAnsi="宋体" w:eastAsia="宋体" w:cs="宋体"/>
                <w:color w:val="auto"/>
                <w:kern w:val="0"/>
                <w:sz w:val="20"/>
                <w:szCs w:val="20"/>
              </w:rPr>
              <w:t>商业企业</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line="320" w:lineRule="exact"/>
              <w:ind w:left="-107" w:leftChars="-51" w:right="-107" w:rightChars="-51"/>
              <w:jc w:val="center"/>
              <w:rPr>
                <w:color w:val="auto"/>
              </w:rPr>
            </w:pPr>
            <w:r>
              <w:rPr>
                <w:rFonts w:hint="eastAsia" w:ascii="宋体" w:hAnsi="宋体" w:eastAsia="宋体" w:cs="宋体"/>
                <w:color w:val="auto"/>
                <w:kern w:val="0"/>
                <w:sz w:val="20"/>
                <w:szCs w:val="20"/>
              </w:rPr>
              <w:t>科研机构</w:t>
            </w:r>
          </w:p>
        </w:tc>
        <w:tc>
          <w:tcPr>
            <w:tcW w:w="567"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20" w:lineRule="exact"/>
              <w:ind w:left="-107" w:leftChars="-51" w:right="-107" w:rightChars="-51"/>
              <w:jc w:val="center"/>
              <w:rPr>
                <w:color w:val="auto"/>
              </w:rPr>
            </w:pPr>
            <w:r>
              <w:rPr>
                <w:rFonts w:hint="eastAsia" w:ascii="宋体" w:hAnsi="宋体" w:eastAsia="宋体" w:cs="宋体"/>
                <w:color w:val="auto"/>
                <w:kern w:val="0"/>
                <w:sz w:val="20"/>
                <w:szCs w:val="20"/>
              </w:rPr>
              <w:t>社会公益组织</w:t>
            </w:r>
          </w:p>
        </w:tc>
        <w:tc>
          <w:tcPr>
            <w:tcW w:w="567"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20" w:lineRule="exact"/>
              <w:ind w:left="-106" w:leftChars="-51" w:right="-107" w:rightChars="-51" w:hanging="1"/>
              <w:jc w:val="center"/>
              <w:rPr>
                <w:color w:val="auto"/>
              </w:rPr>
            </w:pPr>
            <w:r>
              <w:rPr>
                <w:rFonts w:hint="eastAsia" w:ascii="宋体" w:hAnsi="宋体" w:eastAsia="宋体" w:cs="宋体"/>
                <w:color w:val="auto"/>
                <w:kern w:val="0"/>
                <w:sz w:val="20"/>
                <w:szCs w:val="20"/>
              </w:rPr>
              <w:t>法律服务机构</w:t>
            </w:r>
          </w:p>
        </w:tc>
        <w:tc>
          <w:tcPr>
            <w:tcW w:w="540"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60" w:lineRule="exact"/>
              <w:ind w:left="-63" w:leftChars="-30" w:right="-134" w:rightChars="-64"/>
              <w:jc w:val="center"/>
              <w:rPr>
                <w:color w:val="auto"/>
              </w:rPr>
            </w:pPr>
            <w:r>
              <w:rPr>
                <w:rFonts w:hint="eastAsia" w:ascii="宋体" w:hAnsi="宋体" w:eastAsia="宋体" w:cs="宋体"/>
                <w:color w:val="auto"/>
                <w:kern w:val="0"/>
                <w:sz w:val="20"/>
                <w:szCs w:val="20"/>
              </w:rPr>
              <w:t>其他</w:t>
            </w:r>
          </w:p>
        </w:tc>
        <w:tc>
          <w:tcPr>
            <w:tcW w:w="635"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jc w:val="center"/>
              <w:rPr>
                <w:rFonts w:ascii="宋体"/>
                <w:color w:val="auto"/>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rPr>
                <w:color w:val="auto"/>
              </w:rPr>
            </w:pPr>
            <w:r>
              <w:rPr>
                <w:rFonts w:hint="eastAsia" w:ascii="宋体" w:hAnsi="宋体" w:eastAsia="宋体" w:cs="宋体"/>
                <w:color w:val="auto"/>
                <w:kern w:val="0"/>
                <w:sz w:val="20"/>
                <w:szCs w:val="20"/>
              </w:rPr>
              <w:t>一、本年新收政府信息公开申请数量</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default" w:eastAsia="宋体"/>
                <w:color w:val="auto"/>
                <w:lang w:val="en-US" w:eastAsia="zh-CN"/>
              </w:rPr>
            </w:pPr>
            <w:r>
              <w:rPr>
                <w:rFonts w:hint="eastAsia"/>
                <w:color w:val="auto"/>
                <w:lang w:val="en-US" w:eastAsia="zh-CN"/>
              </w:rPr>
              <w:t>11</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default" w:eastAsia="宋体"/>
                <w:color w:val="auto"/>
                <w:lang w:val="en-US" w:eastAsia="zh-CN"/>
              </w:rPr>
            </w:pPr>
            <w:r>
              <w:rPr>
                <w:rFonts w:hint="eastAsia"/>
                <w:color w:val="auto"/>
                <w:lang w:val="en-US" w:eastAsia="zh-CN"/>
              </w:rPr>
              <w:t>11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rPr>
                <w:color w:val="auto"/>
              </w:rPr>
            </w:pPr>
            <w:r>
              <w:rPr>
                <w:rFonts w:hint="eastAsia" w:ascii="宋体" w:hAnsi="宋体" w:eastAsia="宋体" w:cs="宋体"/>
                <w:color w:val="auto"/>
                <w:kern w:val="0"/>
                <w:sz w:val="20"/>
                <w:szCs w:val="20"/>
              </w:rPr>
              <w:t>二、上年结转政府信息公开申请数量</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after="180"/>
              <w:rPr>
                <w:color w:val="auto"/>
              </w:rPr>
            </w:pPr>
            <w:r>
              <w:rPr>
                <w:rFonts w:hint="eastAsia" w:ascii="宋体" w:hAnsi="宋体" w:eastAsia="宋体" w:cs="宋体"/>
                <w:color w:val="auto"/>
                <w:kern w:val="0"/>
                <w:sz w:val="20"/>
                <w:szCs w:val="20"/>
              </w:rPr>
              <w:t>三、本年度办理结果</w:t>
            </w:r>
          </w:p>
        </w:tc>
        <w:tc>
          <w:tcPr>
            <w:tcW w:w="4253" w:type="dxa"/>
            <w:gridSpan w:val="2"/>
            <w:tcBorders>
              <w:top w:val="nil"/>
              <w:left w:val="nil"/>
              <w:bottom w:val="single" w:color="auto" w:sz="8" w:space="0"/>
              <w:right w:val="single" w:color="auto" w:sz="8" w:space="0"/>
            </w:tcBorders>
            <w:noWrap w:val="0"/>
            <w:tcMar>
              <w:left w:w="108" w:type="dxa"/>
              <w:right w:w="108" w:type="dxa"/>
            </w:tcMar>
            <w:vAlign w:val="center"/>
          </w:tcPr>
          <w:p>
            <w:pPr>
              <w:widowControl/>
              <w:rPr>
                <w:color w:val="auto"/>
              </w:rPr>
            </w:pPr>
            <w:r>
              <w:rPr>
                <w:rFonts w:ascii="楷体" w:hAnsi="楷体" w:eastAsia="楷体" w:cs="楷体"/>
                <w:color w:val="auto"/>
                <w:kern w:val="0"/>
                <w:sz w:val="20"/>
                <w:szCs w:val="20"/>
              </w:rPr>
              <w:t>（一）予以公开</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1</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0</w:t>
            </w:r>
          </w:p>
        </w:tc>
        <w:tc>
          <w:tcPr>
            <w:tcW w:w="63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kern w:val="2"/>
                <w:sz w:val="21"/>
                <w:szCs w:val="24"/>
                <w:lang w:val="en-US" w:eastAsia="zh-CN" w:bidi="ar-SA"/>
              </w:rPr>
            </w:pPr>
            <w:r>
              <w:rPr>
                <w:rFonts w:hint="eastAsia"/>
                <w:color w:val="auto"/>
                <w:lang w:val="en-US" w:eastAsia="zh-CN"/>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4253" w:type="dxa"/>
            <w:gridSpan w:val="2"/>
            <w:tcBorders>
              <w:top w:val="nil"/>
              <w:left w:val="nil"/>
              <w:bottom w:val="single" w:color="auto" w:sz="8" w:space="0"/>
              <w:right w:val="single" w:color="auto" w:sz="8" w:space="0"/>
            </w:tcBorders>
            <w:noWrap w:val="0"/>
            <w:tcMar>
              <w:left w:w="108" w:type="dxa"/>
              <w:right w:w="108" w:type="dxa"/>
            </w:tcMar>
            <w:vAlign w:val="center"/>
          </w:tcPr>
          <w:p>
            <w:pPr>
              <w:widowControl/>
              <w:rPr>
                <w:color w:val="auto"/>
              </w:rPr>
            </w:pPr>
            <w:r>
              <w:rPr>
                <w:rFonts w:hint="eastAsia" w:ascii="楷体" w:hAnsi="楷体" w:eastAsia="楷体" w:cs="楷体"/>
                <w:color w:val="auto"/>
                <w:kern w:val="0"/>
                <w:sz w:val="20"/>
                <w:szCs w:val="20"/>
              </w:rPr>
              <w:t>（二）部分公开（区分处理的，只计这一情形，不计其他情形）</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ind w:left="-107" w:leftChars="-51"/>
              <w:rPr>
                <w:color w:val="auto"/>
              </w:rPr>
            </w:pPr>
            <w:r>
              <w:rPr>
                <w:rFonts w:hint="eastAsia" w:ascii="楷体" w:hAnsi="楷体" w:eastAsia="楷体" w:cs="楷体"/>
                <w:color w:val="auto"/>
                <w:kern w:val="0"/>
                <w:sz w:val="20"/>
                <w:szCs w:val="20"/>
              </w:rPr>
              <w:t>（三）不予公开</w:t>
            </w: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1.属于国家秘密</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2.其他法律行政法规禁止公开</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3.危及“三安全一稳定”</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4.保护第三方合法权益</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5.属于三类内部事务信息</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6.属于四类过程性信息</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7.属于行政执法案卷</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8.属于行政查询事项</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ind w:left="-107" w:leftChars="-51"/>
              <w:rPr>
                <w:color w:val="auto"/>
              </w:rPr>
            </w:pPr>
            <w:r>
              <w:rPr>
                <w:rFonts w:hint="eastAsia" w:ascii="楷体" w:hAnsi="楷体" w:eastAsia="楷体" w:cs="楷体"/>
                <w:color w:val="auto"/>
                <w:kern w:val="0"/>
                <w:sz w:val="20"/>
                <w:szCs w:val="20"/>
              </w:rPr>
              <w:t>（四）无法提供</w:t>
            </w: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1.本机关不掌握相关政府信息</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default"/>
                <w:color w:val="auto"/>
                <w:lang w:val="en-US"/>
              </w:rPr>
            </w:pPr>
            <w:r>
              <w:rPr>
                <w:rFonts w:hint="eastAsia"/>
                <w:color w:val="auto"/>
                <w:lang w:val="en-US" w:eastAsia="zh-CN"/>
              </w:rPr>
              <w:t>10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default"/>
                <w:color w:val="auto"/>
                <w:lang w:val="en-US"/>
              </w:rPr>
            </w:pPr>
            <w:r>
              <w:rPr>
                <w:rFonts w:hint="eastAsia"/>
                <w:color w:val="auto"/>
                <w:lang w:val="en-US" w:eastAsia="zh-CN"/>
              </w:rPr>
              <w:t>10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ind w:left="-107" w:leftChars="-51"/>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2.没有现成信息需要另行制作</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ind w:left="-107" w:leftChars="-51"/>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3.补正后申请内容仍不明确</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ind w:left="-107" w:leftChars="-51"/>
              <w:rPr>
                <w:color w:val="auto"/>
              </w:rPr>
            </w:pPr>
            <w:r>
              <w:rPr>
                <w:rFonts w:hint="eastAsia" w:ascii="楷体" w:hAnsi="楷体" w:eastAsia="楷体" w:cs="楷体"/>
                <w:color w:val="auto"/>
                <w:kern w:val="0"/>
                <w:sz w:val="20"/>
                <w:szCs w:val="20"/>
              </w:rPr>
              <w:t>（五）不予处理</w:t>
            </w: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1.信访举报投诉类申请</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rFonts w:ascii="楷体" w:hAnsi="楷体" w:eastAsia="楷体" w:cs="楷体"/>
                <w:color w:val="auto"/>
                <w:kern w:val="0"/>
                <w:sz w:val="20"/>
                <w:szCs w:val="20"/>
              </w:rPr>
            </w:pPr>
            <w:r>
              <w:rPr>
                <w:rFonts w:hint="eastAsia" w:ascii="楷体" w:hAnsi="楷体" w:eastAsia="楷体" w:cs="楷体"/>
                <w:color w:val="auto"/>
                <w:kern w:val="0"/>
                <w:sz w:val="20"/>
                <w:szCs w:val="20"/>
              </w:rPr>
              <w:t>2.重复申请</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color w:val="auto"/>
              </w:rPr>
            </w:pPr>
            <w:r>
              <w:rPr>
                <w:rFonts w:hint="eastAsia" w:ascii="楷体" w:hAnsi="楷体" w:eastAsia="楷体" w:cs="楷体"/>
                <w:color w:val="auto"/>
                <w:kern w:val="0"/>
                <w:sz w:val="20"/>
                <w:szCs w:val="20"/>
              </w:rPr>
              <w:t>3.要求提供公开出版物</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color w:val="auto"/>
              </w:rPr>
            </w:pPr>
            <w:r>
              <w:rPr>
                <w:rFonts w:hint="eastAsia" w:ascii="楷体" w:hAnsi="楷体" w:eastAsia="楷体" w:cs="楷体"/>
                <w:color w:val="auto"/>
                <w:kern w:val="0"/>
                <w:sz w:val="20"/>
                <w:szCs w:val="20"/>
              </w:rPr>
              <w:t>4.无正当理由大量反复申请</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1418" w:type="dxa"/>
            <w:vMerge w:val="continue"/>
            <w:tcBorders>
              <w:top w:val="nil"/>
              <w:left w:val="nil"/>
              <w:bottom w:val="single" w:color="auto" w:sz="8" w:space="0"/>
              <w:right w:val="single" w:color="auto" w:sz="8" w:space="0"/>
            </w:tcBorders>
            <w:noWrap w:val="0"/>
            <w:tcMar>
              <w:left w:w="108" w:type="dxa"/>
              <w:right w:w="108" w:type="dxa"/>
            </w:tcMar>
            <w:vAlign w:val="center"/>
          </w:tcPr>
          <w:p>
            <w:pPr>
              <w:spacing w:line="200" w:lineRule="exact"/>
              <w:rPr>
                <w:rFonts w:ascii="宋体"/>
                <w:color w:val="auto"/>
                <w:sz w:val="24"/>
              </w:rPr>
            </w:pPr>
          </w:p>
        </w:tc>
        <w:tc>
          <w:tcPr>
            <w:tcW w:w="2835" w:type="dxa"/>
            <w:tcBorders>
              <w:top w:val="nil"/>
              <w:left w:val="nil"/>
              <w:bottom w:val="single" w:color="auto" w:sz="8" w:space="0"/>
              <w:right w:val="single" w:color="auto" w:sz="8" w:space="0"/>
            </w:tcBorders>
            <w:noWrap w:val="0"/>
            <w:tcMar>
              <w:left w:w="108" w:type="dxa"/>
              <w:right w:w="108" w:type="dxa"/>
            </w:tcMar>
            <w:vAlign w:val="center"/>
          </w:tcPr>
          <w:p>
            <w:pPr>
              <w:widowControl/>
              <w:spacing w:line="300" w:lineRule="exact"/>
              <w:rPr>
                <w:rFonts w:hint="eastAsia" w:ascii="楷体" w:hAnsi="楷体" w:eastAsia="楷体" w:cs="楷体"/>
                <w:color w:val="auto"/>
                <w:kern w:val="0"/>
                <w:sz w:val="20"/>
                <w:szCs w:val="20"/>
              </w:rPr>
            </w:pPr>
            <w:r>
              <w:rPr>
                <w:rFonts w:hint="eastAsia" w:ascii="楷体" w:hAnsi="楷体" w:eastAsia="楷体" w:cs="楷体"/>
                <w:color w:val="auto"/>
                <w:kern w:val="0"/>
                <w:sz w:val="20"/>
                <w:szCs w:val="20"/>
              </w:rPr>
              <w:t>5.要求行政机关确认或重新</w:t>
            </w:r>
          </w:p>
          <w:p>
            <w:pPr>
              <w:widowControl/>
              <w:spacing w:line="300" w:lineRule="exact"/>
              <w:ind w:firstLine="200" w:firstLineChars="100"/>
              <w:rPr>
                <w:color w:val="auto"/>
              </w:rPr>
            </w:pPr>
            <w:r>
              <w:rPr>
                <w:rFonts w:hint="eastAsia" w:ascii="楷体" w:hAnsi="楷体" w:eastAsia="楷体" w:cs="楷体"/>
                <w:color w:val="auto"/>
                <w:kern w:val="0"/>
                <w:sz w:val="20"/>
                <w:szCs w:val="20"/>
              </w:rPr>
              <w:t>出具已获取信息</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4253"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color w:val="auto"/>
              </w:rPr>
            </w:pPr>
            <w:r>
              <w:rPr>
                <w:rFonts w:hint="eastAsia" w:ascii="楷体" w:hAnsi="楷体" w:eastAsia="楷体" w:cs="楷体"/>
                <w:color w:val="auto"/>
                <w:kern w:val="0"/>
                <w:sz w:val="20"/>
                <w:szCs w:val="20"/>
              </w:rPr>
              <w:t>（六）其他处理</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4253" w:type="dxa"/>
            <w:gridSpan w:val="2"/>
            <w:tcBorders>
              <w:top w:val="nil"/>
              <w:left w:val="nil"/>
              <w:bottom w:val="single" w:color="auto" w:sz="8" w:space="0"/>
              <w:right w:val="single" w:color="auto" w:sz="8" w:space="0"/>
            </w:tcBorders>
            <w:noWrap w:val="0"/>
            <w:tcMar>
              <w:left w:w="108" w:type="dxa"/>
              <w:right w:w="108" w:type="dxa"/>
            </w:tcMar>
            <w:vAlign w:val="center"/>
          </w:tcPr>
          <w:p>
            <w:pPr>
              <w:widowControl/>
              <w:spacing w:line="200" w:lineRule="exact"/>
              <w:rPr>
                <w:color w:val="auto"/>
              </w:rPr>
            </w:pPr>
            <w:r>
              <w:rPr>
                <w:rFonts w:hint="eastAsia" w:ascii="楷体" w:hAnsi="楷体" w:eastAsia="楷体" w:cs="楷体"/>
                <w:color w:val="auto"/>
                <w:kern w:val="0"/>
                <w:sz w:val="20"/>
                <w:szCs w:val="20"/>
              </w:rPr>
              <w:t>（七）总计</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rPr>
                <w:color w:val="auto"/>
              </w:rPr>
            </w:pPr>
            <w:r>
              <w:rPr>
                <w:rFonts w:hint="eastAsia" w:ascii="宋体" w:hAnsi="宋体" w:eastAsia="宋体" w:cs="宋体"/>
                <w:color w:val="auto"/>
                <w:kern w:val="0"/>
                <w:sz w:val="20"/>
                <w:szCs w:val="20"/>
              </w:rPr>
              <w:t>四、结转下年度继续办理</w:t>
            </w:r>
          </w:p>
        </w:tc>
        <w:tc>
          <w:tcPr>
            <w:tcW w:w="8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67"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54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color w:val="auto"/>
                <w:lang w:val="en-US" w:eastAsia="zh-CN"/>
              </w:rPr>
              <w:t>0</w:t>
            </w:r>
          </w:p>
        </w:tc>
        <w:tc>
          <w:tcPr>
            <w:tcW w:w="63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ascii="宋体"/>
                <w:color w:val="auto"/>
                <w:sz w:val="24"/>
              </w:rPr>
            </w:pPr>
            <w:r>
              <w:rPr>
                <w:rFonts w:hint="eastAsia"/>
                <w:color w:val="auto"/>
                <w:lang w:val="en-US" w:eastAsia="zh-CN"/>
              </w:rPr>
              <w:t>0</w:t>
            </w:r>
          </w:p>
        </w:tc>
      </w:tr>
    </w:tbl>
    <w:p>
      <w:pPr>
        <w:pStyle w:val="2"/>
        <w:widowControl/>
        <w:shd w:val="clear" w:color="auto" w:fill="FFFFFF"/>
        <w:spacing w:beforeAutospacing="0" w:afterAutospacing="0"/>
        <w:ind w:firstLine="420"/>
        <w:jc w:val="both"/>
        <w:rPr>
          <w:rFonts w:ascii="宋体" w:hAnsi="宋体" w:eastAsia="宋体" w:cs="宋体"/>
          <w:color w:val="auto"/>
        </w:rPr>
      </w:pPr>
    </w:p>
    <w:p>
      <w:pPr>
        <w:pStyle w:val="2"/>
        <w:widowControl/>
        <w:shd w:val="clear" w:color="auto" w:fill="FFFFFF"/>
        <w:spacing w:beforeAutospacing="0" w:afterAutospacing="0"/>
        <w:ind w:firstLine="420"/>
        <w:jc w:val="both"/>
        <w:rPr>
          <w:rFonts w:ascii="黑体" w:hAnsi="黑体" w:eastAsia="黑体" w:cs="宋体"/>
          <w:color w:val="auto"/>
          <w:sz w:val="32"/>
          <w:szCs w:val="32"/>
        </w:rPr>
      </w:pPr>
      <w:r>
        <w:rPr>
          <w:rFonts w:hint="eastAsia" w:ascii="黑体" w:hAnsi="黑体" w:eastAsia="黑体" w:cs="宋体"/>
          <w:color w:val="auto"/>
          <w:sz w:val="32"/>
          <w:szCs w:val="32"/>
          <w:shd w:val="clear" w:color="auto" w:fill="FFFFFF"/>
        </w:rPr>
        <w:t>四、政府信息公开行政复议、行政诉讼情况</w:t>
      </w:r>
    </w:p>
    <w:p>
      <w:pPr>
        <w:pStyle w:val="2"/>
        <w:widowControl/>
        <w:shd w:val="clear" w:color="auto" w:fill="FFFFFF"/>
        <w:spacing w:beforeAutospacing="0" w:afterAutospacing="0"/>
        <w:ind w:firstLine="420"/>
        <w:jc w:val="both"/>
        <w:rPr>
          <w:rFonts w:ascii="宋体" w:hAnsi="宋体" w:eastAsia="宋体" w:cs="宋体"/>
          <w:color w:val="auto"/>
        </w:rPr>
      </w:pPr>
    </w:p>
    <w:tbl>
      <w:tblPr>
        <w:tblStyle w:val="3"/>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jc w:val="center"/>
        </w:trPr>
        <w:tc>
          <w:tcPr>
            <w:tcW w:w="307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widowControl/>
              <w:jc w:val="center"/>
              <w:rPr>
                <w:color w:val="auto"/>
              </w:rPr>
            </w:pPr>
            <w:r>
              <w:rPr>
                <w:rFonts w:hint="eastAsia" w:ascii="宋体" w:hAnsi="宋体" w:eastAsia="宋体" w:cs="宋体"/>
                <w:color w:val="auto"/>
                <w:kern w:val="0"/>
                <w:sz w:val="20"/>
                <w:szCs w:val="20"/>
              </w:rPr>
              <w:t>行政复议</w:t>
            </w:r>
          </w:p>
        </w:tc>
        <w:tc>
          <w:tcPr>
            <w:tcW w:w="5997"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jc w:val="center"/>
              <w:rPr>
                <w:color w:val="auto"/>
              </w:rPr>
            </w:pPr>
            <w:r>
              <w:rPr>
                <w:rFonts w:hint="eastAsia" w:ascii="宋体" w:hAnsi="宋体" w:eastAsia="宋体" w:cs="宋体"/>
                <w:color w:val="auto"/>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604"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ind w:left="-149" w:leftChars="-71" w:right="-170" w:rightChars="-81"/>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结果</w:t>
            </w:r>
          </w:p>
          <w:p>
            <w:pPr>
              <w:widowControl/>
              <w:ind w:left="-149" w:leftChars="-71" w:right="-170" w:rightChars="-81"/>
              <w:jc w:val="center"/>
              <w:rPr>
                <w:color w:val="auto"/>
              </w:rPr>
            </w:pPr>
            <w:r>
              <w:rPr>
                <w:rFonts w:hint="eastAsia" w:ascii="宋体" w:hAnsi="宋体" w:eastAsia="宋体" w:cs="宋体"/>
                <w:color w:val="auto"/>
                <w:kern w:val="0"/>
                <w:sz w:val="20"/>
                <w:szCs w:val="20"/>
              </w:rPr>
              <w:t>维持</w:t>
            </w:r>
          </w:p>
        </w:tc>
        <w:tc>
          <w:tcPr>
            <w:tcW w:w="604" w:type="dxa"/>
            <w:vMerge w:val="restart"/>
            <w:tcBorders>
              <w:top w:val="nil"/>
              <w:left w:val="nil"/>
              <w:bottom w:val="single" w:color="auto" w:sz="8" w:space="0"/>
              <w:right w:val="single" w:color="auto" w:sz="8" w:space="0"/>
            </w:tcBorders>
            <w:noWrap w:val="0"/>
            <w:tcMar>
              <w:left w:w="108" w:type="dxa"/>
              <w:right w:w="108" w:type="dxa"/>
            </w:tcMar>
            <w:vAlign w:val="center"/>
          </w:tcPr>
          <w:p>
            <w:pPr>
              <w:widowControl/>
              <w:ind w:left="-43" w:leftChars="-21" w:right="-132" w:rightChars="-63" w:hanging="1"/>
              <w:jc w:val="center"/>
              <w:rPr>
                <w:color w:val="auto"/>
              </w:rPr>
            </w:pPr>
            <w:r>
              <w:rPr>
                <w:rFonts w:hint="eastAsia" w:ascii="宋体" w:hAnsi="宋体" w:eastAsia="宋体" w:cs="宋体"/>
                <w:color w:val="auto"/>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ind w:left="-82" w:leftChars="-39" w:right="-97" w:rightChars="-46"/>
              <w:jc w:val="center"/>
              <w:rPr>
                <w:color w:val="auto"/>
              </w:rPr>
            </w:pPr>
            <w:r>
              <w:rPr>
                <w:rFonts w:hint="eastAsia" w:ascii="宋体" w:hAnsi="宋体" w:eastAsia="宋体" w:cs="宋体"/>
                <w:color w:val="auto"/>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ind w:left="-118" w:leftChars="-56" w:right="-118" w:rightChars="-56"/>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尚未</w:t>
            </w:r>
          </w:p>
          <w:p>
            <w:pPr>
              <w:widowControl/>
              <w:ind w:left="-118" w:leftChars="-56" w:right="-118" w:rightChars="-56"/>
              <w:jc w:val="center"/>
              <w:rPr>
                <w:color w:val="auto"/>
              </w:rPr>
            </w:pPr>
            <w:r>
              <w:rPr>
                <w:rFonts w:hint="eastAsia" w:ascii="宋体" w:hAnsi="宋体" w:eastAsia="宋体" w:cs="宋体"/>
                <w:color w:val="auto"/>
                <w:kern w:val="0"/>
                <w:sz w:val="20"/>
                <w:szCs w:val="20"/>
              </w:rPr>
              <w:t>审结</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spacing w:line="320" w:lineRule="exact"/>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总</w:t>
            </w:r>
          </w:p>
          <w:p>
            <w:pPr>
              <w:widowControl/>
              <w:spacing w:line="320" w:lineRule="exact"/>
              <w:jc w:val="center"/>
              <w:rPr>
                <w:color w:val="auto"/>
              </w:rPr>
            </w:pPr>
            <w:r>
              <w:rPr>
                <w:rFonts w:hint="eastAsia" w:ascii="宋体" w:hAnsi="宋体" w:eastAsia="宋体" w:cs="宋体"/>
                <w:color w:val="auto"/>
                <w:kern w:val="0"/>
                <w:sz w:val="20"/>
                <w:szCs w:val="20"/>
              </w:rPr>
              <w:t>计</w:t>
            </w:r>
          </w:p>
        </w:tc>
        <w:tc>
          <w:tcPr>
            <w:tcW w:w="2970"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jc w:val="center"/>
              <w:rPr>
                <w:color w:val="auto"/>
              </w:rPr>
            </w:pPr>
            <w:r>
              <w:rPr>
                <w:rFonts w:hint="eastAsia" w:ascii="宋体" w:hAnsi="宋体" w:eastAsia="宋体" w:cs="宋体"/>
                <w:color w:val="auto"/>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jc w:val="center"/>
              <w:rPr>
                <w:color w:val="auto"/>
              </w:rPr>
            </w:pPr>
            <w:r>
              <w:rPr>
                <w:rFonts w:hint="eastAsia" w:ascii="宋体" w:hAnsi="宋体" w:eastAsia="宋体" w:cs="宋体"/>
                <w:color w:val="auto"/>
                <w:kern w:val="0"/>
                <w:sz w:val="20"/>
                <w:szCs w:val="20"/>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6" w:hRule="atLeast"/>
          <w:jc w:val="center"/>
        </w:trPr>
        <w:tc>
          <w:tcPr>
            <w:tcW w:w="604"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604"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604"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604"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rPr>
                <w:rFonts w:ascii="宋体"/>
                <w:color w:val="auto"/>
                <w:sz w:val="24"/>
              </w:rPr>
            </w:pPr>
          </w:p>
        </w:tc>
        <w:tc>
          <w:tcPr>
            <w:tcW w:w="550" w:type="dxa"/>
            <w:tcBorders>
              <w:top w:val="nil"/>
              <w:left w:val="nil"/>
              <w:bottom w:val="single" w:color="auto" w:sz="8" w:space="0"/>
              <w:right w:val="single" w:color="auto" w:sz="8" w:space="0"/>
            </w:tcBorders>
            <w:noWrap w:val="0"/>
            <w:tcMar>
              <w:left w:w="108" w:type="dxa"/>
              <w:right w:w="108" w:type="dxa"/>
            </w:tcMar>
            <w:vAlign w:val="center"/>
          </w:tcPr>
          <w:p>
            <w:pPr>
              <w:widowControl/>
              <w:ind w:left="-105" w:leftChars="-50" w:right="-126" w:rightChars="-60"/>
              <w:jc w:val="center"/>
              <w:rPr>
                <w:color w:val="auto"/>
              </w:rPr>
            </w:pPr>
            <w:r>
              <w:rPr>
                <w:rFonts w:hint="eastAsia" w:ascii="宋体" w:hAnsi="宋体" w:eastAsia="宋体" w:cs="宋体"/>
                <w:color w:val="auto"/>
                <w:kern w:val="0"/>
                <w:sz w:val="20"/>
                <w:szCs w:val="20"/>
              </w:rPr>
              <w:t>结果维持</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ind w:left="-86" w:leftChars="-41" w:right="-88" w:rightChars="-42"/>
              <w:jc w:val="center"/>
              <w:rPr>
                <w:color w:val="auto"/>
              </w:rPr>
            </w:pPr>
            <w:r>
              <w:rPr>
                <w:rFonts w:hint="eastAsia" w:ascii="宋体" w:hAnsi="宋体" w:eastAsia="宋体" w:cs="宋体"/>
                <w:color w:val="auto"/>
                <w:kern w:val="0"/>
                <w:sz w:val="20"/>
                <w:szCs w:val="20"/>
              </w:rPr>
              <w:t>结果纠正</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ind w:left="-126" w:leftChars="-60" w:right="-136" w:rightChars="-65"/>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其他</w:t>
            </w:r>
          </w:p>
          <w:p>
            <w:pPr>
              <w:widowControl/>
              <w:ind w:left="-126" w:leftChars="-60" w:right="-136" w:rightChars="-65"/>
              <w:jc w:val="center"/>
              <w:rPr>
                <w:color w:val="auto"/>
              </w:rPr>
            </w:pPr>
            <w:r>
              <w:rPr>
                <w:rFonts w:hint="eastAsia" w:ascii="宋体" w:hAnsi="宋体" w:eastAsia="宋体" w:cs="宋体"/>
                <w:color w:val="auto"/>
                <w:kern w:val="0"/>
                <w:sz w:val="20"/>
                <w:szCs w:val="20"/>
              </w:rPr>
              <w:t>结果</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ind w:left="-164" w:leftChars="-78" w:right="-153" w:rightChars="-73"/>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尚未</w:t>
            </w:r>
          </w:p>
          <w:p>
            <w:pPr>
              <w:widowControl/>
              <w:ind w:left="-164" w:leftChars="-78" w:right="-153" w:rightChars="-73"/>
              <w:jc w:val="center"/>
              <w:rPr>
                <w:color w:val="auto"/>
              </w:rPr>
            </w:pPr>
            <w:r>
              <w:rPr>
                <w:rFonts w:hint="eastAsia" w:ascii="宋体" w:hAnsi="宋体" w:eastAsia="宋体" w:cs="宋体"/>
                <w:color w:val="auto"/>
                <w:kern w:val="0"/>
                <w:sz w:val="20"/>
                <w:szCs w:val="20"/>
              </w:rPr>
              <w:t>审结</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jc w:val="center"/>
              <w:rPr>
                <w:color w:val="auto"/>
              </w:rPr>
            </w:pPr>
            <w:r>
              <w:rPr>
                <w:rFonts w:hint="eastAsia" w:ascii="宋体" w:hAnsi="宋体" w:eastAsia="宋体" w:cs="宋体"/>
                <w:color w:val="auto"/>
                <w:kern w:val="0"/>
                <w:sz w:val="20"/>
                <w:szCs w:val="20"/>
              </w:rPr>
              <w:t>总计</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ind w:left="-99" w:leftChars="-47" w:right="-78" w:rightChars="-37"/>
              <w:jc w:val="center"/>
              <w:rPr>
                <w:color w:val="auto"/>
              </w:rPr>
            </w:pPr>
            <w:r>
              <w:rPr>
                <w:rFonts w:hint="eastAsia" w:ascii="宋体" w:hAnsi="宋体" w:eastAsia="宋体" w:cs="宋体"/>
                <w:color w:val="auto"/>
                <w:kern w:val="0"/>
                <w:sz w:val="20"/>
                <w:szCs w:val="20"/>
              </w:rPr>
              <w:t>结果维持</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ind w:left="-136" w:leftChars="-65" w:right="-124" w:rightChars="-59"/>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结果</w:t>
            </w:r>
          </w:p>
          <w:p>
            <w:pPr>
              <w:widowControl/>
              <w:ind w:left="-136" w:leftChars="-65" w:right="-124" w:rightChars="-59"/>
              <w:jc w:val="center"/>
              <w:rPr>
                <w:color w:val="auto"/>
              </w:rPr>
            </w:pPr>
            <w:r>
              <w:rPr>
                <w:rFonts w:hint="eastAsia" w:ascii="宋体" w:hAnsi="宋体" w:eastAsia="宋体" w:cs="宋体"/>
                <w:color w:val="auto"/>
                <w:kern w:val="0"/>
                <w:sz w:val="20"/>
                <w:szCs w:val="20"/>
              </w:rPr>
              <w:t>纠正</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ind w:left="-173" w:leftChars="-83" w:right="-134" w:rightChars="-64" w:hanging="1"/>
              <w:jc w:val="center"/>
              <w:rPr>
                <w:rFonts w:hint="eastAsia" w:ascii="宋体" w:hAnsi="宋体" w:eastAsia="宋体" w:cs="宋体"/>
                <w:color w:val="auto"/>
                <w:kern w:val="0"/>
                <w:sz w:val="20"/>
                <w:szCs w:val="20"/>
              </w:rPr>
            </w:pPr>
            <w:r>
              <w:rPr>
                <w:rFonts w:hint="eastAsia" w:ascii="宋体" w:hAnsi="宋体" w:eastAsia="宋体" w:cs="宋体"/>
                <w:color w:val="auto"/>
                <w:kern w:val="0"/>
                <w:sz w:val="20"/>
                <w:szCs w:val="20"/>
              </w:rPr>
              <w:t>其他</w:t>
            </w:r>
          </w:p>
          <w:p>
            <w:pPr>
              <w:widowControl/>
              <w:ind w:left="-173" w:leftChars="-83" w:right="-134" w:rightChars="-64" w:hanging="1"/>
              <w:jc w:val="center"/>
              <w:rPr>
                <w:color w:val="auto"/>
              </w:rPr>
            </w:pPr>
            <w:r>
              <w:rPr>
                <w:rFonts w:hint="eastAsia" w:ascii="宋体" w:hAnsi="宋体" w:eastAsia="宋体" w:cs="宋体"/>
                <w:color w:val="auto"/>
                <w:kern w:val="0"/>
                <w:sz w:val="20"/>
                <w:szCs w:val="20"/>
              </w:rPr>
              <w:t>结果</w:t>
            </w:r>
          </w:p>
        </w:tc>
        <w:tc>
          <w:tcPr>
            <w:tcW w:w="606"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ind w:left="-67" w:leftChars="-33" w:right="-105" w:rightChars="-50" w:hanging="2" w:hangingChars="1"/>
              <w:jc w:val="center"/>
              <w:rPr>
                <w:color w:val="auto"/>
              </w:rPr>
            </w:pPr>
            <w:r>
              <w:rPr>
                <w:rFonts w:hint="eastAsia" w:ascii="宋体" w:hAnsi="宋体" w:eastAsia="宋体" w:cs="宋体"/>
                <w:color w:val="auto"/>
                <w:kern w:val="0"/>
                <w:sz w:val="20"/>
                <w:szCs w:val="20"/>
              </w:rPr>
              <w:t>尚未审结</w:t>
            </w:r>
          </w:p>
        </w:tc>
        <w:tc>
          <w:tcPr>
            <w:tcW w:w="606" w:type="dxa"/>
            <w:tcBorders>
              <w:top w:val="single" w:color="auto" w:sz="8" w:space="0"/>
              <w:left w:val="nil"/>
              <w:bottom w:val="single" w:color="auto" w:sz="8" w:space="0"/>
              <w:right w:val="single" w:color="auto" w:sz="8" w:space="0"/>
            </w:tcBorders>
            <w:noWrap w:val="0"/>
            <w:tcMar>
              <w:left w:w="108" w:type="dxa"/>
              <w:right w:w="108" w:type="dxa"/>
            </w:tcMar>
            <w:vAlign w:val="center"/>
          </w:tcPr>
          <w:p>
            <w:pPr>
              <w:widowControl/>
              <w:jc w:val="center"/>
              <w:rPr>
                <w:color w:val="auto"/>
              </w:rPr>
            </w:pPr>
            <w:r>
              <w:rPr>
                <w:rFonts w:hint="eastAsia" w:ascii="宋体" w:hAnsi="宋体" w:eastAsia="宋体" w:cs="宋体"/>
                <w:color w:val="auto"/>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ascii="Calibri" w:hAnsi="Calibri" w:cs="Calibri"/>
                <w:color w:val="auto"/>
                <w:kern w:val="0"/>
                <w:sz w:val="20"/>
                <w:szCs w:val="20"/>
                <w:lang w:val="en-US" w:eastAsia="zh-CN"/>
              </w:rPr>
              <w:t>0</w:t>
            </w:r>
            <w:r>
              <w:rPr>
                <w:rFonts w:ascii="Calibri" w:hAnsi="Calibri" w:cs="Calibri"/>
                <w:color w:val="auto"/>
                <w:kern w:val="0"/>
                <w:sz w:val="20"/>
                <w:szCs w:val="20"/>
              </w:rPr>
              <w:t> </w:t>
            </w:r>
          </w:p>
        </w:tc>
        <w:tc>
          <w:tcPr>
            <w:tcW w:w="604"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ascii="Calibri" w:hAnsi="Calibri" w:cs="Calibri"/>
                <w:color w:val="auto"/>
                <w:kern w:val="0"/>
                <w:sz w:val="20"/>
                <w:szCs w:val="20"/>
              </w:rPr>
              <w:t> </w:t>
            </w:r>
            <w:r>
              <w:rPr>
                <w:rFonts w:hint="eastAsia" w:ascii="Calibri" w:hAnsi="Calibri" w:cs="Calibri"/>
                <w:color w:val="auto"/>
                <w:kern w:val="0"/>
                <w:sz w:val="20"/>
                <w:szCs w:val="20"/>
                <w:lang w:val="en-US" w:eastAsia="zh-CN"/>
              </w:rPr>
              <w:t>0</w:t>
            </w:r>
          </w:p>
        </w:tc>
        <w:tc>
          <w:tcPr>
            <w:tcW w:w="604"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ascii="Calibri" w:hAnsi="Calibri" w:cs="Calibri"/>
                <w:color w:val="auto"/>
                <w:kern w:val="0"/>
                <w:sz w:val="20"/>
                <w:szCs w:val="20"/>
                <w:lang w:val="en-US" w:eastAsia="zh-CN"/>
              </w:rPr>
              <w:t>0</w:t>
            </w:r>
            <w:r>
              <w:rPr>
                <w:rFonts w:ascii="Calibri" w:hAnsi="Calibri" w:cs="Calibri"/>
                <w:color w:val="auto"/>
                <w:kern w:val="0"/>
                <w:sz w:val="20"/>
                <w:szCs w:val="20"/>
              </w:rPr>
              <w:t> </w:t>
            </w:r>
          </w:p>
        </w:tc>
        <w:tc>
          <w:tcPr>
            <w:tcW w:w="604"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ascii="Calibri" w:hAnsi="Calibri" w:cs="Calibri"/>
                <w:color w:val="auto"/>
                <w:kern w:val="0"/>
                <w:sz w:val="20"/>
                <w:szCs w:val="20"/>
              </w:rPr>
              <w:t> </w:t>
            </w:r>
            <w:r>
              <w:rPr>
                <w:rFonts w:hint="eastAsia" w:ascii="Calibri" w:hAnsi="Calibri" w:cs="Calibri"/>
                <w:color w:val="auto"/>
                <w:kern w:val="0"/>
                <w:sz w:val="20"/>
                <w:szCs w:val="20"/>
                <w:lang w:val="en-US" w:eastAsia="zh-CN"/>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ascii="Calibri" w:hAnsi="Calibri" w:cs="Calibri"/>
                <w:color w:val="auto"/>
                <w:kern w:val="0"/>
                <w:sz w:val="20"/>
                <w:szCs w:val="20"/>
                <w:lang w:val="en-US" w:eastAsia="zh-CN"/>
              </w:rPr>
              <w:t>0</w:t>
            </w:r>
            <w:r>
              <w:rPr>
                <w:rFonts w:ascii="Calibri" w:hAnsi="Calibri" w:cs="Calibri"/>
                <w:color w:val="auto"/>
                <w:kern w:val="0"/>
                <w:sz w:val="20"/>
                <w:szCs w:val="20"/>
              </w:rPr>
              <w:t> </w:t>
            </w:r>
          </w:p>
        </w:tc>
        <w:tc>
          <w:tcPr>
            <w:tcW w:w="550"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ascii="宋体" w:hAnsi="宋体" w:eastAsia="宋体" w:cs="宋体"/>
                <w:color w:val="auto"/>
                <w:kern w:val="0"/>
                <w:sz w:val="20"/>
                <w:szCs w:val="20"/>
              </w:rPr>
              <w:t> </w:t>
            </w:r>
            <w:r>
              <w:rPr>
                <w:rFonts w:hint="eastAsia" w:ascii="宋体" w:hAnsi="宋体" w:eastAsia="宋体" w:cs="宋体"/>
                <w:color w:val="auto"/>
                <w:kern w:val="0"/>
                <w:sz w:val="20"/>
                <w:szCs w:val="20"/>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ascii="宋体" w:hAnsi="宋体" w:eastAsia="宋体" w:cs="宋体"/>
                <w:color w:val="auto"/>
                <w:kern w:val="0"/>
                <w:sz w:val="20"/>
                <w:szCs w:val="20"/>
              </w:rPr>
              <w:t> </w:t>
            </w:r>
            <w:r>
              <w:rPr>
                <w:rFonts w:hint="eastAsia" w:ascii="宋体" w:hAnsi="宋体" w:eastAsia="宋体" w:cs="宋体"/>
                <w:color w:val="auto"/>
                <w:kern w:val="0"/>
                <w:sz w:val="20"/>
                <w:szCs w:val="20"/>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ascii="宋体" w:hAnsi="宋体" w:eastAsia="宋体" w:cs="宋体"/>
                <w:color w:val="auto"/>
                <w:kern w:val="0"/>
                <w:sz w:val="20"/>
                <w:szCs w:val="20"/>
              </w:rPr>
              <w:t> </w:t>
            </w:r>
            <w:r>
              <w:rPr>
                <w:rFonts w:hint="eastAsia" w:ascii="宋体" w:hAnsi="宋体" w:eastAsia="宋体" w:cs="宋体"/>
                <w:color w:val="auto"/>
                <w:kern w:val="0"/>
                <w:sz w:val="20"/>
                <w:szCs w:val="20"/>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color w:val="auto"/>
              </w:rPr>
            </w:pPr>
            <w:r>
              <w:rPr>
                <w:rFonts w:hint="eastAsia" w:ascii="宋体" w:hAnsi="宋体" w:eastAsia="宋体" w:cs="宋体"/>
                <w:color w:val="auto"/>
                <w:kern w:val="0"/>
                <w:sz w:val="20"/>
                <w:szCs w:val="20"/>
                <w:lang w:val="en-US" w:eastAsia="zh-CN"/>
              </w:rPr>
              <w:t>0</w:t>
            </w:r>
            <w:r>
              <w:rPr>
                <w:rFonts w:hint="eastAsia" w:ascii="宋体" w:hAnsi="宋体" w:eastAsia="宋体" w:cs="宋体"/>
                <w:color w:val="auto"/>
                <w:kern w:val="0"/>
                <w:sz w:val="20"/>
                <w:szCs w:val="20"/>
              </w:rPr>
              <w:t> </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ascii="宋体" w:hAnsi="宋体" w:eastAsia="宋体" w:cs="宋体"/>
                <w:color w:val="auto"/>
                <w:kern w:val="0"/>
                <w:sz w:val="20"/>
                <w:szCs w:val="20"/>
              </w:rPr>
              <w:t> </w:t>
            </w:r>
            <w:r>
              <w:rPr>
                <w:rFonts w:hint="eastAsia" w:ascii="宋体" w:hAnsi="宋体" w:eastAsia="宋体" w:cs="宋体"/>
                <w:color w:val="auto"/>
                <w:kern w:val="0"/>
                <w:sz w:val="20"/>
                <w:szCs w:val="20"/>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ascii="宋体" w:hAnsi="宋体" w:eastAsia="宋体" w:cs="宋体"/>
                <w:color w:val="auto"/>
                <w:kern w:val="0"/>
                <w:sz w:val="20"/>
                <w:szCs w:val="20"/>
              </w:rPr>
              <w:t> </w:t>
            </w:r>
            <w:r>
              <w:rPr>
                <w:rFonts w:hint="eastAsia" w:ascii="宋体" w:hAnsi="宋体" w:eastAsia="宋体" w:cs="宋体"/>
                <w:color w:val="auto"/>
                <w:kern w:val="0"/>
                <w:sz w:val="20"/>
                <w:szCs w:val="20"/>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ascii="宋体" w:hAnsi="宋体" w:eastAsia="宋体" w:cs="宋体"/>
                <w:color w:val="auto"/>
                <w:kern w:val="0"/>
                <w:sz w:val="20"/>
                <w:szCs w:val="20"/>
              </w:rPr>
              <w:t> </w:t>
            </w:r>
            <w:r>
              <w:rPr>
                <w:rFonts w:hint="eastAsia" w:ascii="宋体" w:hAnsi="宋体" w:eastAsia="宋体" w:cs="宋体"/>
                <w:color w:val="auto"/>
                <w:kern w:val="0"/>
                <w:sz w:val="20"/>
                <w:szCs w:val="20"/>
                <w:lang w:val="en-US" w:eastAsia="zh-CN"/>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ascii="宋体" w:hAnsi="宋体" w:eastAsia="宋体" w:cs="宋体"/>
                <w:color w:val="auto"/>
                <w:kern w:val="0"/>
                <w:sz w:val="20"/>
                <w:szCs w:val="20"/>
              </w:rPr>
              <w:t> </w:t>
            </w:r>
            <w:r>
              <w:rPr>
                <w:rFonts w:hint="eastAsia" w:ascii="宋体" w:hAnsi="宋体" w:eastAsia="宋体" w:cs="宋体"/>
                <w:color w:val="auto"/>
                <w:kern w:val="0"/>
                <w:sz w:val="20"/>
                <w:szCs w:val="20"/>
                <w:lang w:val="en-US" w:eastAsia="zh-CN"/>
              </w:rPr>
              <w:t>0</w:t>
            </w:r>
          </w:p>
        </w:tc>
        <w:tc>
          <w:tcPr>
            <w:tcW w:w="606" w:type="dxa"/>
            <w:tcBorders>
              <w:top w:val="nil"/>
              <w:left w:val="nil"/>
              <w:bottom w:val="single" w:color="auto" w:sz="8" w:space="0"/>
              <w:right w:val="single" w:color="auto" w:sz="8" w:space="0"/>
            </w:tcBorders>
            <w:noWrap w:val="0"/>
            <w:tcMar>
              <w:left w:w="108" w:type="dxa"/>
              <w:right w:w="108" w:type="dxa"/>
            </w:tcMar>
            <w:vAlign w:val="center"/>
          </w:tcPr>
          <w:p>
            <w:pPr>
              <w:widowControl/>
              <w:spacing w:after="180"/>
              <w:jc w:val="center"/>
              <w:rPr>
                <w:rFonts w:hint="eastAsia" w:eastAsia="宋体"/>
                <w:color w:val="auto"/>
                <w:lang w:val="en-US" w:eastAsia="zh-CN"/>
              </w:rPr>
            </w:pPr>
            <w:r>
              <w:rPr>
                <w:rFonts w:hint="eastAsia" w:ascii="宋体" w:hAnsi="宋体" w:eastAsia="宋体" w:cs="宋体"/>
                <w:color w:val="auto"/>
                <w:kern w:val="0"/>
                <w:sz w:val="20"/>
                <w:szCs w:val="20"/>
              </w:rPr>
              <w:t> </w:t>
            </w:r>
            <w:r>
              <w:rPr>
                <w:rFonts w:hint="eastAsia" w:ascii="宋体" w:hAnsi="宋体" w:eastAsia="宋体" w:cs="宋体"/>
                <w:color w:val="auto"/>
                <w:kern w:val="0"/>
                <w:sz w:val="20"/>
                <w:szCs w:val="20"/>
                <w:lang w:val="en-US" w:eastAsia="zh-CN"/>
              </w:rPr>
              <w:t>0</w:t>
            </w:r>
          </w:p>
        </w:tc>
        <w:tc>
          <w:tcPr>
            <w:tcW w:w="606" w:type="dxa"/>
            <w:tcBorders>
              <w:top w:val="nil"/>
              <w:left w:val="nil"/>
              <w:bottom w:val="single" w:color="auto" w:sz="8" w:space="0"/>
              <w:right w:val="single" w:color="auto" w:sz="8" w:space="0"/>
            </w:tcBorders>
            <w:noWrap w:val="0"/>
            <w:tcMar>
              <w:left w:w="108" w:type="dxa"/>
              <w:right w:w="108" w:type="dxa"/>
            </w:tcMar>
            <w:vAlign w:val="center"/>
          </w:tcPr>
          <w:p>
            <w:pPr>
              <w:rPr>
                <w:rFonts w:hint="default" w:ascii="宋体" w:eastAsia="宋体"/>
                <w:color w:val="auto"/>
                <w:sz w:val="20"/>
                <w:szCs w:val="20"/>
                <w:lang w:val="en-US" w:eastAsia="zh-CN"/>
              </w:rPr>
            </w:pPr>
            <w:r>
              <w:rPr>
                <w:rFonts w:hint="eastAsia" w:ascii="宋体" w:hAnsi="宋体" w:eastAsia="宋体" w:cs="宋体"/>
                <w:color w:val="auto"/>
                <w:kern w:val="0"/>
                <w:sz w:val="20"/>
                <w:szCs w:val="20"/>
              </w:rPr>
              <w:t> </w:t>
            </w:r>
            <w:r>
              <w:rPr>
                <w:rFonts w:hint="eastAsia" w:ascii="宋体" w:hAnsi="宋体" w:eastAsia="宋体" w:cs="宋体"/>
                <w:color w:val="auto"/>
                <w:kern w:val="0"/>
                <w:sz w:val="20"/>
                <w:szCs w:val="20"/>
                <w:lang w:val="en-US" w:eastAsia="zh-CN"/>
              </w:rPr>
              <w:t>0</w:t>
            </w:r>
          </w:p>
        </w:tc>
      </w:tr>
    </w:tbl>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exact"/>
        <w:jc w:val="left"/>
        <w:textAlignment w:val="auto"/>
        <w:rPr>
          <w:rFonts w:ascii="宋体" w:hAnsi="宋体" w:eastAsia="宋体" w:cs="宋体"/>
          <w:color w:val="auto"/>
          <w:kern w:val="0"/>
          <w:sz w:val="32"/>
          <w:szCs w:val="32"/>
        </w:rPr>
      </w:pPr>
      <w:r>
        <w:rPr>
          <w:rFonts w:ascii="宋体" w:hAnsi="宋体" w:eastAsia="宋体" w:cs="宋体"/>
          <w:color w:val="auto"/>
          <w:kern w:val="0"/>
          <w:sz w:val="32"/>
          <w:szCs w:val="32"/>
        </w:rPr>
        <w:t xml:space="preserve">  </w:t>
      </w:r>
      <w:r>
        <w:rPr>
          <w:rFonts w:hint="eastAsia" w:ascii="黑体" w:hAnsi="黑体" w:eastAsia="黑体" w:cs="宋体"/>
          <w:color w:val="auto"/>
          <w:kern w:val="0"/>
          <w:sz w:val="32"/>
          <w:szCs w:val="32"/>
        </w:rPr>
        <w:t>五、存在的主要问题及改进情况</w:t>
      </w:r>
      <w:r>
        <w:rPr>
          <w:rFonts w:ascii="宋体" w:hAnsi="宋体" w:eastAsia="宋体" w:cs="宋体"/>
          <w:color w:val="auto"/>
          <w:kern w:val="0"/>
          <w:sz w:val="32"/>
          <w:szCs w:val="32"/>
        </w:rPr>
        <w:t> </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exact"/>
        <w:ind w:firstLine="538"/>
        <w:jc w:val="left"/>
        <w:textAlignment w:val="auto"/>
        <w:rPr>
          <w:rFonts w:ascii="宋体" w:hAnsi="宋体" w:eastAsia="宋体" w:cs="宋体"/>
          <w:color w:val="auto"/>
          <w:kern w:val="0"/>
          <w:sz w:val="32"/>
          <w:szCs w:val="32"/>
        </w:rPr>
      </w:pPr>
      <w:r>
        <w:rPr>
          <w:rFonts w:hint="eastAsia" w:ascii="楷体_GB2312" w:hAnsi="宋体" w:eastAsia="楷体_GB2312" w:cs="宋体"/>
          <w:color w:val="auto"/>
          <w:kern w:val="0"/>
          <w:sz w:val="32"/>
          <w:szCs w:val="32"/>
          <w:lang w:val="en-US" w:eastAsia="zh-CN"/>
        </w:rPr>
        <w:t>1、</w:t>
      </w:r>
      <w:r>
        <w:rPr>
          <w:rFonts w:hint="eastAsia" w:ascii="楷体_GB2312" w:hAnsi="宋体" w:eastAsia="楷体_GB2312" w:cs="宋体"/>
          <w:color w:val="auto"/>
          <w:kern w:val="0"/>
          <w:sz w:val="32"/>
          <w:szCs w:val="32"/>
        </w:rPr>
        <w:t>存在的主要问题</w:t>
      </w:r>
      <w:r>
        <w:rPr>
          <w:rFonts w:hint="eastAsia" w:ascii="楷体_GB2312" w:hAnsi="宋体" w:eastAsia="楷体_GB2312" w:cs="宋体"/>
          <w:color w:val="auto"/>
          <w:kern w:val="0"/>
          <w:sz w:val="32"/>
          <w:szCs w:val="32"/>
          <w:lang w:eastAsia="zh-CN"/>
        </w:rPr>
        <w:t>：</w:t>
      </w:r>
      <w:r>
        <w:rPr>
          <w:rFonts w:hint="eastAsia" w:ascii="仿宋_GB2312" w:hAnsi="宋体" w:eastAsia="仿宋_GB2312" w:cs="宋体"/>
          <w:color w:val="auto"/>
          <w:kern w:val="0"/>
          <w:sz w:val="32"/>
          <w:szCs w:val="32"/>
        </w:rPr>
        <w:t>一是信息公开面向社会宣传力度不够；二是信息公开的内容有待进一步完善；三是政务网站信息公开的业务知识比较欠缺，管理人员的技术水平有待培训提高；四是公开的及时性、便民性还需要进一步提高。</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exact"/>
        <w:ind w:firstLine="640" w:firstLineChars="200"/>
        <w:jc w:val="left"/>
        <w:textAlignment w:val="auto"/>
        <w:rPr>
          <w:rFonts w:ascii="宋体" w:hAnsi="宋体" w:eastAsia="宋体" w:cs="宋体"/>
          <w:color w:val="auto"/>
          <w:kern w:val="0"/>
          <w:sz w:val="32"/>
          <w:szCs w:val="32"/>
        </w:rPr>
      </w:pPr>
      <w:r>
        <w:rPr>
          <w:rFonts w:hint="eastAsia" w:ascii="楷体_GB2312" w:hAnsi="宋体" w:eastAsia="楷体_GB2312" w:cs="宋体"/>
          <w:color w:val="auto"/>
          <w:kern w:val="0"/>
          <w:sz w:val="32"/>
          <w:szCs w:val="32"/>
          <w:lang w:val="en-US" w:eastAsia="zh-CN"/>
        </w:rPr>
        <w:t>2、</w:t>
      </w:r>
      <w:r>
        <w:rPr>
          <w:rFonts w:hint="eastAsia" w:ascii="楷体_GB2312" w:hAnsi="宋体" w:eastAsia="楷体_GB2312" w:cs="宋体"/>
          <w:color w:val="auto"/>
          <w:kern w:val="0"/>
          <w:sz w:val="32"/>
          <w:szCs w:val="32"/>
        </w:rPr>
        <w:t>改进措施。</w:t>
      </w:r>
      <w:r>
        <w:rPr>
          <w:rFonts w:hint="eastAsia" w:ascii="仿宋_GB2312" w:hAnsi="宋体" w:eastAsia="仿宋_GB2312" w:cs="宋体"/>
          <w:color w:val="auto"/>
          <w:kern w:val="0"/>
          <w:sz w:val="32"/>
          <w:szCs w:val="32"/>
        </w:rPr>
        <w:t>一是进一步做好政府信息公开宣传工作，要进一步拓宽宣传渠道，提高有关信息的知晓率，更好的服务群众。二是进一步梳理</w:t>
      </w:r>
      <w:r>
        <w:rPr>
          <w:rFonts w:hint="eastAsia" w:ascii="仿宋_GB2312" w:hAnsi="宋体" w:eastAsia="仿宋_GB2312" w:cs="宋体"/>
          <w:color w:val="auto"/>
          <w:kern w:val="0"/>
          <w:sz w:val="32"/>
          <w:szCs w:val="32"/>
          <w:lang w:eastAsia="zh-CN"/>
        </w:rPr>
        <w:t>办事处</w:t>
      </w:r>
      <w:r>
        <w:rPr>
          <w:rFonts w:hint="eastAsia" w:ascii="仿宋_GB2312" w:hAnsi="宋体" w:eastAsia="仿宋_GB2312" w:cs="宋体"/>
          <w:color w:val="auto"/>
          <w:kern w:val="0"/>
          <w:sz w:val="32"/>
          <w:szCs w:val="32"/>
        </w:rPr>
        <w:t>机关所掌握的政府信息，及时提供，定期维护，确保政府信息公开工作能按照既定的工作流程有效运作，便于公众查询。三是积极开展对相关人员的教育培训。认真组织学习《中华人民共和国政府信息公开条例》和《2020年张店区政务公开工作方案》等条例和相关文件，不断提高对政务公开工作重要性和必要性的认识，明确政务公开的具体要求和内容，全面提高有关人员做好信息公开工作的能力和业务水平。</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exact"/>
        <w:ind w:firstLine="538"/>
        <w:jc w:val="left"/>
        <w:textAlignment w:val="auto"/>
        <w:rPr>
          <w:rFonts w:ascii="宋体" w:hAnsi="宋体" w:eastAsia="宋体" w:cs="宋体"/>
          <w:color w:val="auto"/>
          <w:kern w:val="0"/>
          <w:sz w:val="32"/>
          <w:szCs w:val="32"/>
        </w:rPr>
      </w:pPr>
      <w:r>
        <w:rPr>
          <w:rFonts w:hint="eastAsia" w:ascii="黑体" w:hAnsi="黑体" w:eastAsia="黑体" w:cs="宋体"/>
          <w:color w:val="auto"/>
          <w:kern w:val="0"/>
          <w:sz w:val="32"/>
          <w:szCs w:val="32"/>
        </w:rPr>
        <w:t>六、其他需要报告事项</w:t>
      </w:r>
    </w:p>
    <w:p>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exact"/>
        <w:ind w:firstLine="538"/>
        <w:jc w:val="left"/>
        <w:textAlignment w:val="auto"/>
        <w:rPr>
          <w:rFonts w:ascii="宋体" w:hAnsi="宋体" w:eastAsia="宋体" w:cs="宋体"/>
          <w:color w:val="auto"/>
          <w:kern w:val="0"/>
          <w:sz w:val="32"/>
          <w:szCs w:val="32"/>
        </w:rPr>
      </w:pPr>
      <w:r>
        <w:rPr>
          <w:rFonts w:hint="eastAsia" w:ascii="仿宋_GB2312" w:hAnsi="宋体" w:eastAsia="仿宋_GB2312" w:cs="宋体"/>
          <w:color w:val="auto"/>
          <w:kern w:val="0"/>
          <w:sz w:val="32"/>
          <w:szCs w:val="32"/>
        </w:rPr>
        <w:t>无</w:t>
      </w:r>
      <w:bookmarkStart w:id="0" w:name="_GoBack"/>
      <w:bookmarkEnd w:id="0"/>
    </w:p>
    <w:p>
      <w:pPr>
        <w:keepNext w:val="0"/>
        <w:keepLines w:val="0"/>
        <w:pageBreakBefore w:val="0"/>
        <w:kinsoku/>
        <w:wordWrap/>
        <w:overflowPunct/>
        <w:topLinePunct w:val="0"/>
        <w:autoSpaceDE/>
        <w:autoSpaceDN/>
        <w:bidi w:val="0"/>
        <w:adjustRightInd/>
        <w:snapToGrid/>
        <w:spacing w:line="560" w:lineRule="exact"/>
        <w:textAlignment w:val="auto"/>
        <w:rPr>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ACCB133"/>
    <w:multiLevelType w:val="singleLevel"/>
    <w:tmpl w:val="8ACCB13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0DB8"/>
    <w:rsid w:val="00684742"/>
    <w:rsid w:val="00817F8D"/>
    <w:rsid w:val="00A61CE9"/>
    <w:rsid w:val="00CE7FAC"/>
    <w:rsid w:val="00E10DB8"/>
    <w:rsid w:val="0F0D487F"/>
    <w:rsid w:val="24C23FFD"/>
    <w:rsid w:val="2A553023"/>
    <w:rsid w:val="514547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3154</Words>
  <Characters>3305</Characters>
  <Lines>18</Lines>
  <Paragraphs>5</Paragraphs>
  <TotalTime>2</TotalTime>
  <ScaleCrop>false</ScaleCrop>
  <LinksUpToDate>false</LinksUpToDate>
  <CharactersWithSpaces>3356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2021-01-17T08:55:00Z</dcterms:created>
  <dc:creator>Administrator</dc:creator>
  <cp:lastModifiedBy>我心永恒</cp:lastModifiedBy>
  <dcterms:modified xsi:type="dcterms:W3CDTF">2021-01-29T02:03:07Z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335836446_btnclosed</vt:lpwstr>
  </property>
  <property fmtid="{D5CDD505-2E9C-101B-9397-08002B2CF9AE}" pid="3" name="KSOProductBuildVer">
    <vt:lpwstr>2052-11.1.0.10314</vt:lpwstr>
  </property>
</Properties>
</file>