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张店区车站街道办事处</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2021年政府信息公开工作年度报告</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报告是根据《中华人民共和国政府信息公开条例》（以下简称《条例》）要求，由车站街道办事处编制的2021年度政府信息公开年度报告。本报告由总体情况、主动公开政府信息情况、收到和处理政府信息公开申请情况、政府信息公开行政复议、行政诉讼情况以及存在的主要问题及改进情况和其他需要报告事项组成。所列数据的统计期限是2021年1月1日至2021年12月31日。本报告电子版可以在淄博市张店区人民政府门户网站查阅或下载（网址：http://www.zhangdian.gov.cn/gongkai/site_zdqczjdbsc）。如对报告内容有疑问，请与张店区车站街道办事处党政办公室联系（地址：张店区王舍路1号；邮编：255000；电话：0533-2711191；传真：0533-2711191）</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一、总体情况</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2021年，在区委、区政府的正确领导下，车站街道党工委、办事处高度重视政府信息公开工作，现根据《中华人民共和国政府信息公开条例》第五十条和淄博市人民政府办公室《关于做好2021年政府信息公开工作年度报告编制和发布工作的通知》以及《张店区人民政府办公室关于规范编制和按时发布政府信息公开工作年度报告的通知》的要求，公布车站街道办事处2021年政府信息公开工作年度报告。</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2021年，车站街道办事处切实加强政府信息公开制度建设，实施了一系列促进政务公开工作的举措，不断拓展政府信息公开的内容，丰富公开的形式，政府信息公开各项工作顺利开展。</w:t>
      </w:r>
    </w:p>
    <w:p>
      <w:pPr>
        <w:keepNext w:val="0"/>
        <w:keepLines w:val="0"/>
        <w:pageBreakBefore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主动公开。2021年我办共主动公开政府信息</w:t>
      </w:r>
      <w:r>
        <w:rPr>
          <w:rFonts w:hint="eastAsia" w:ascii="仿宋_GB2312" w:hAnsi="仿宋_GB2312" w:eastAsia="仿宋_GB2312" w:cs="仿宋_GB2312"/>
          <w:sz w:val="32"/>
          <w:szCs w:val="32"/>
          <w:highlight w:val="none"/>
          <w:lang w:val="en-US" w:eastAsia="zh-CN"/>
        </w:rPr>
        <w:t>104</w:t>
      </w:r>
      <w:r>
        <w:rPr>
          <w:rFonts w:hint="eastAsia" w:ascii="仿宋_GB2312" w:hAnsi="仿宋_GB2312" w:eastAsia="仿宋_GB2312" w:cs="仿宋_GB2312"/>
          <w:sz w:val="32"/>
          <w:szCs w:val="32"/>
        </w:rPr>
        <w:t>条。主动公开政府信息的主要类别：履职依据、机构职能、领导信息、专项规划、统计信息、重大决策预公开、会议公开、建议提案、行政权力、财政信息、重点领域信息公开、政策解读、人事信息、业务动态等。2021年，我办共承办人大建议0件，政协提案0件。</w:t>
      </w:r>
    </w:p>
    <w:p>
      <w:pPr>
        <w:keepNext w:val="0"/>
        <w:keepLines w:val="0"/>
        <w:pageBreakBefore w:val="0"/>
        <w:widowControl w:val="0"/>
        <w:numPr>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drawing>
          <wp:anchor distT="0" distB="0" distL="114935" distR="114935" simplePos="0" relativeHeight="251659264" behindDoc="1" locked="0" layoutInCell="1" allowOverlap="1">
            <wp:simplePos x="0" y="0"/>
            <wp:positionH relativeFrom="column">
              <wp:posOffset>6985</wp:posOffset>
            </wp:positionH>
            <wp:positionV relativeFrom="paragraph">
              <wp:posOffset>736600</wp:posOffset>
            </wp:positionV>
            <wp:extent cx="5266690" cy="3354705"/>
            <wp:effectExtent l="0" t="0" r="6350" b="13335"/>
            <wp:wrapTight wrapText="bothSides">
              <wp:wrapPolygon>
                <wp:start x="0" y="0"/>
                <wp:lineTo x="0" y="21490"/>
                <wp:lineTo x="21564" y="21490"/>
                <wp:lineTo x="21564" y="0"/>
                <wp:lineTo x="0" y="0"/>
              </wp:wrapPolygon>
            </wp:wrapTight>
            <wp:docPr id="1" name="图片 1" descr="f17f3d2f61249f868d905a030b0c9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17f3d2f61249f868d905a030b0c9f2"/>
                    <pic:cNvPicPr>
                      <a:picLocks noChangeAspect="1"/>
                    </pic:cNvPicPr>
                  </pic:nvPicPr>
                  <pic:blipFill>
                    <a:blip r:embed="rId4"/>
                    <a:stretch>
                      <a:fillRect/>
                    </a:stretch>
                  </pic:blipFill>
                  <pic:spPr>
                    <a:xfrm>
                      <a:off x="0" y="0"/>
                      <a:ext cx="5266690" cy="3354705"/>
                    </a:xfrm>
                    <a:prstGeom prst="rect">
                      <a:avLst/>
                    </a:prstGeom>
                  </pic:spPr>
                </pic:pic>
              </a:graphicData>
            </a:graphic>
          </wp:anchor>
        </w:drawing>
      </w:r>
    </w:p>
    <w:p>
      <w:pPr>
        <w:keepNext w:val="0"/>
        <w:keepLines w:val="0"/>
        <w:pageBreakBefore w:val="0"/>
        <w:widowControl w:val="0"/>
        <w:numPr>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p>
    <w:p>
      <w:pPr>
        <w:keepNext w:val="0"/>
        <w:keepLines w:val="0"/>
        <w:pageBreakBefore w:val="0"/>
        <w:numPr>
          <w:numId w:val="0"/>
        </w:numPr>
        <w:kinsoku/>
        <w:wordWrap/>
        <w:overflowPunct/>
        <w:topLinePunct w:val="0"/>
        <w:autoSpaceDE/>
        <w:autoSpaceDN/>
        <w:bidi w:val="0"/>
        <w:adjustRightInd/>
        <w:snapToGrid/>
        <w:spacing w:line="560" w:lineRule="exact"/>
        <w:ind w:leftChars="200"/>
        <w:textAlignment w:val="auto"/>
        <w:rPr>
          <w:rFonts w:hint="eastAsia" w:ascii="仿宋_GB2312" w:hAnsi="仿宋_GB2312" w:eastAsia="仿宋_GB2312" w:cs="仿宋_GB2312"/>
          <w:sz w:val="32"/>
          <w:szCs w:val="32"/>
        </w:rPr>
      </w:pPr>
    </w:p>
    <w:p>
      <w:pPr>
        <w:keepNext w:val="0"/>
        <w:keepLines w:val="0"/>
        <w:pageBreakBefore w:val="0"/>
        <w:numPr>
          <w:numId w:val="0"/>
        </w:numPr>
        <w:kinsoku/>
        <w:wordWrap/>
        <w:overflowPunct/>
        <w:topLinePunct w:val="0"/>
        <w:autoSpaceDE/>
        <w:autoSpaceDN/>
        <w:bidi w:val="0"/>
        <w:adjustRightInd/>
        <w:snapToGrid/>
        <w:spacing w:line="560" w:lineRule="exact"/>
        <w:ind w:leftChars="200"/>
        <w:textAlignment w:val="auto"/>
        <w:rPr>
          <w:rFonts w:hint="eastAsia" w:ascii="仿宋_GB2312" w:hAnsi="仿宋_GB2312" w:eastAsia="仿宋_GB2312" w:cs="仿宋_GB2312"/>
          <w:sz w:val="32"/>
          <w:szCs w:val="32"/>
        </w:rPr>
      </w:pPr>
    </w:p>
    <w:p>
      <w:pPr>
        <w:keepNext w:val="0"/>
        <w:keepLines w:val="0"/>
        <w:pageBreakBefore w:val="0"/>
        <w:numPr>
          <w:numId w:val="0"/>
        </w:numPr>
        <w:kinsoku/>
        <w:wordWrap/>
        <w:overflowPunct/>
        <w:topLinePunct w:val="0"/>
        <w:autoSpaceDE/>
        <w:autoSpaceDN/>
        <w:bidi w:val="0"/>
        <w:adjustRightInd/>
        <w:snapToGrid/>
        <w:spacing w:line="560" w:lineRule="exact"/>
        <w:ind w:leftChars="200"/>
        <w:textAlignment w:val="auto"/>
        <w:rPr>
          <w:rFonts w:hint="eastAsia" w:ascii="仿宋_GB2312" w:hAnsi="仿宋_GB2312" w:eastAsia="仿宋_GB2312" w:cs="仿宋_GB2312"/>
          <w:sz w:val="32"/>
          <w:szCs w:val="32"/>
        </w:rPr>
      </w:pPr>
    </w:p>
    <w:p>
      <w:pPr>
        <w:keepNext w:val="0"/>
        <w:keepLines w:val="0"/>
        <w:pageBreakBefore w:val="0"/>
        <w:numPr>
          <w:numId w:val="0"/>
        </w:numPr>
        <w:kinsoku/>
        <w:wordWrap/>
        <w:overflowPunct/>
        <w:topLinePunct w:val="0"/>
        <w:autoSpaceDE/>
        <w:autoSpaceDN/>
        <w:bidi w:val="0"/>
        <w:adjustRightInd/>
        <w:snapToGrid/>
        <w:spacing w:line="240" w:lineRule="auto"/>
        <w:ind w:left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drawing>
          <wp:anchor distT="0" distB="0" distL="114935" distR="114935" simplePos="0" relativeHeight="251660288" behindDoc="1" locked="0" layoutInCell="1" allowOverlap="1">
            <wp:simplePos x="0" y="0"/>
            <wp:positionH relativeFrom="column">
              <wp:posOffset>852170</wp:posOffset>
            </wp:positionH>
            <wp:positionV relativeFrom="paragraph">
              <wp:posOffset>53340</wp:posOffset>
            </wp:positionV>
            <wp:extent cx="3566160" cy="2653665"/>
            <wp:effectExtent l="0" t="0" r="0" b="13335"/>
            <wp:wrapTight wrapText="bothSides">
              <wp:wrapPolygon>
                <wp:start x="0" y="0"/>
                <wp:lineTo x="0" y="21460"/>
                <wp:lineTo x="21508" y="21460"/>
                <wp:lineTo x="21508" y="0"/>
                <wp:lineTo x="0" y="0"/>
              </wp:wrapPolygon>
            </wp:wrapTight>
            <wp:docPr id="5" name="图片 5" descr="4b203429619b60751d145323ff5cc1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4b203429619b60751d145323ff5cc1c"/>
                    <pic:cNvPicPr>
                      <a:picLocks noChangeAspect="1"/>
                    </pic:cNvPicPr>
                  </pic:nvPicPr>
                  <pic:blipFill>
                    <a:blip r:embed="rId5"/>
                    <a:stretch>
                      <a:fillRect/>
                    </a:stretch>
                  </pic:blipFill>
                  <pic:spPr>
                    <a:xfrm>
                      <a:off x="0" y="0"/>
                      <a:ext cx="3566160" cy="2653665"/>
                    </a:xfrm>
                    <a:prstGeom prst="rect">
                      <a:avLst/>
                    </a:prstGeom>
                  </pic:spPr>
                </pic:pic>
              </a:graphicData>
            </a:graphic>
          </wp:anchor>
        </w:drawing>
      </w:r>
    </w:p>
    <w:p>
      <w:pPr>
        <w:keepNext w:val="0"/>
        <w:keepLines w:val="0"/>
        <w:pageBreakBefore w:val="0"/>
        <w:numPr>
          <w:numId w:val="0"/>
        </w:numPr>
        <w:kinsoku/>
        <w:wordWrap/>
        <w:overflowPunct/>
        <w:topLinePunct w:val="0"/>
        <w:autoSpaceDE/>
        <w:autoSpaceDN/>
        <w:bidi w:val="0"/>
        <w:adjustRightInd/>
        <w:snapToGrid/>
        <w:spacing w:line="560" w:lineRule="exact"/>
        <w:ind w:leftChars="200"/>
        <w:textAlignment w:val="auto"/>
        <w:rPr>
          <w:rFonts w:hint="eastAsia" w:ascii="仿宋_GB2312" w:hAnsi="仿宋_GB2312" w:eastAsia="仿宋_GB2312" w:cs="仿宋_GB2312"/>
          <w:sz w:val="32"/>
          <w:szCs w:val="32"/>
        </w:rPr>
      </w:pPr>
    </w:p>
    <w:p>
      <w:pPr>
        <w:keepNext w:val="0"/>
        <w:keepLines w:val="0"/>
        <w:pageBreakBefore w:val="0"/>
        <w:numPr>
          <w:numId w:val="0"/>
        </w:numPr>
        <w:kinsoku/>
        <w:wordWrap/>
        <w:overflowPunct/>
        <w:topLinePunct w:val="0"/>
        <w:autoSpaceDE/>
        <w:autoSpaceDN/>
        <w:bidi w:val="0"/>
        <w:adjustRightInd/>
        <w:snapToGrid/>
        <w:spacing w:line="560" w:lineRule="exact"/>
        <w:ind w:leftChars="200"/>
        <w:textAlignment w:val="auto"/>
        <w:rPr>
          <w:rFonts w:hint="eastAsia" w:ascii="仿宋_GB2312" w:hAnsi="仿宋_GB2312" w:eastAsia="仿宋_GB2312" w:cs="仿宋_GB2312"/>
          <w:sz w:val="32"/>
          <w:szCs w:val="32"/>
        </w:rPr>
      </w:pPr>
    </w:p>
    <w:p>
      <w:pPr>
        <w:keepNext w:val="0"/>
        <w:keepLines w:val="0"/>
        <w:pageBreakBefore w:val="0"/>
        <w:numPr>
          <w:numId w:val="0"/>
        </w:numPr>
        <w:kinsoku/>
        <w:wordWrap/>
        <w:overflowPunct/>
        <w:topLinePunct w:val="0"/>
        <w:autoSpaceDE/>
        <w:autoSpaceDN/>
        <w:bidi w:val="0"/>
        <w:adjustRightInd/>
        <w:snapToGrid/>
        <w:spacing w:line="560" w:lineRule="exact"/>
        <w:ind w:leftChars="200"/>
        <w:textAlignment w:val="auto"/>
        <w:rPr>
          <w:rFonts w:hint="eastAsia" w:ascii="仿宋_GB2312" w:hAnsi="仿宋_GB2312" w:eastAsia="仿宋_GB2312" w:cs="仿宋_GB2312"/>
          <w:sz w:val="32"/>
          <w:szCs w:val="32"/>
        </w:rPr>
      </w:pPr>
    </w:p>
    <w:p>
      <w:pPr>
        <w:keepNext w:val="0"/>
        <w:keepLines w:val="0"/>
        <w:pageBreakBefore w:val="0"/>
        <w:numPr>
          <w:numId w:val="0"/>
        </w:numPr>
        <w:kinsoku/>
        <w:wordWrap/>
        <w:overflowPunct/>
        <w:topLinePunct w:val="0"/>
        <w:autoSpaceDE/>
        <w:autoSpaceDN/>
        <w:bidi w:val="0"/>
        <w:adjustRightInd/>
        <w:snapToGrid/>
        <w:spacing w:line="560" w:lineRule="exact"/>
        <w:ind w:leftChars="200"/>
        <w:textAlignment w:val="auto"/>
        <w:rPr>
          <w:rFonts w:hint="eastAsia" w:ascii="仿宋_GB2312" w:hAnsi="仿宋_GB2312" w:eastAsia="仿宋_GB2312" w:cs="仿宋_GB2312"/>
          <w:sz w:val="32"/>
          <w:szCs w:val="32"/>
        </w:rPr>
      </w:pPr>
    </w:p>
    <w:p>
      <w:pPr>
        <w:keepNext w:val="0"/>
        <w:keepLines w:val="0"/>
        <w:pageBreakBefore w:val="0"/>
        <w:numPr>
          <w:numId w:val="0"/>
        </w:numPr>
        <w:kinsoku/>
        <w:wordWrap/>
        <w:overflowPunct/>
        <w:topLinePunct w:val="0"/>
        <w:autoSpaceDE/>
        <w:autoSpaceDN/>
        <w:bidi w:val="0"/>
        <w:adjustRightInd/>
        <w:snapToGrid/>
        <w:spacing w:line="560" w:lineRule="exact"/>
        <w:ind w:leftChars="200"/>
        <w:textAlignment w:val="auto"/>
        <w:rPr>
          <w:rFonts w:hint="eastAsia" w:ascii="仿宋_GB2312" w:hAnsi="仿宋_GB2312" w:eastAsia="仿宋_GB2312" w:cs="仿宋_GB2312"/>
          <w:sz w:val="32"/>
          <w:szCs w:val="32"/>
        </w:rPr>
      </w:pPr>
    </w:p>
    <w:p>
      <w:pPr>
        <w:keepNext w:val="0"/>
        <w:keepLines w:val="0"/>
        <w:pageBreakBefore w:val="0"/>
        <w:numPr>
          <w:numId w:val="0"/>
        </w:numPr>
        <w:kinsoku/>
        <w:wordWrap/>
        <w:overflowPunct/>
        <w:topLinePunct w:val="0"/>
        <w:autoSpaceDE/>
        <w:autoSpaceDN/>
        <w:bidi w:val="0"/>
        <w:adjustRightInd/>
        <w:snapToGrid/>
        <w:spacing w:line="560" w:lineRule="exact"/>
        <w:ind w:leftChars="200"/>
        <w:textAlignment w:val="auto"/>
        <w:rPr>
          <w:rFonts w:hint="eastAsia" w:ascii="仿宋_GB2312" w:hAnsi="仿宋_GB2312" w:eastAsia="仿宋_GB2312" w:cs="仿宋_GB2312"/>
          <w:sz w:val="32"/>
          <w:szCs w:val="32"/>
        </w:rPr>
      </w:pPr>
    </w:p>
    <w:p>
      <w:pPr>
        <w:keepNext w:val="0"/>
        <w:keepLines w:val="0"/>
        <w:pageBreakBefore w:val="0"/>
        <w:numPr>
          <w:numId w:val="0"/>
        </w:numPr>
        <w:kinsoku/>
        <w:wordWrap/>
        <w:overflowPunct/>
        <w:topLinePunct w:val="0"/>
        <w:autoSpaceDE/>
        <w:autoSpaceDN/>
        <w:bidi w:val="0"/>
        <w:adjustRightInd/>
        <w:snapToGrid/>
        <w:spacing w:line="560" w:lineRule="exact"/>
        <w:ind w:leftChars="200"/>
        <w:textAlignment w:val="auto"/>
        <w:rPr>
          <w:rFonts w:hint="eastAsia" w:ascii="仿宋_GB2312" w:hAnsi="仿宋_GB2312" w:eastAsia="仿宋_GB2312" w:cs="仿宋_GB2312"/>
          <w:sz w:val="32"/>
          <w:szCs w:val="32"/>
        </w:rPr>
      </w:pPr>
    </w:p>
    <w:p>
      <w:pPr>
        <w:keepNext w:val="0"/>
        <w:keepLines w:val="0"/>
        <w:pageBreakBefore w:val="0"/>
        <w:numPr>
          <w:numId w:val="0"/>
        </w:numPr>
        <w:kinsoku/>
        <w:wordWrap/>
        <w:overflowPunct/>
        <w:topLinePunct w:val="0"/>
        <w:autoSpaceDE/>
        <w:autoSpaceDN/>
        <w:bidi w:val="0"/>
        <w:adjustRightInd/>
        <w:snapToGrid/>
        <w:spacing w:line="560" w:lineRule="exact"/>
        <w:ind w:left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drawing>
          <wp:anchor distT="0" distB="0" distL="114935" distR="114935" simplePos="0" relativeHeight="251661312" behindDoc="1" locked="0" layoutInCell="1" allowOverlap="1">
            <wp:simplePos x="0" y="0"/>
            <wp:positionH relativeFrom="column">
              <wp:posOffset>252095</wp:posOffset>
            </wp:positionH>
            <wp:positionV relativeFrom="paragraph">
              <wp:posOffset>3208655</wp:posOffset>
            </wp:positionV>
            <wp:extent cx="5266690" cy="6144895"/>
            <wp:effectExtent l="0" t="0" r="6350" b="12065"/>
            <wp:wrapTight wrapText="bothSides">
              <wp:wrapPolygon>
                <wp:start x="0" y="0"/>
                <wp:lineTo x="0" y="21535"/>
                <wp:lineTo x="21564" y="21535"/>
                <wp:lineTo x="21564" y="0"/>
                <wp:lineTo x="0" y="0"/>
              </wp:wrapPolygon>
            </wp:wrapTight>
            <wp:docPr id="3" name="图片 3" descr="2133fbd732d1c8765535ba03964b6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2133fbd732d1c8765535ba03964b674"/>
                    <pic:cNvPicPr>
                      <a:picLocks noChangeAspect="1"/>
                    </pic:cNvPicPr>
                  </pic:nvPicPr>
                  <pic:blipFill>
                    <a:blip r:embed="rId6"/>
                    <a:stretch>
                      <a:fillRect/>
                    </a:stretch>
                  </pic:blipFill>
                  <pic:spPr>
                    <a:xfrm>
                      <a:off x="0" y="0"/>
                      <a:ext cx="5266690" cy="6144895"/>
                    </a:xfrm>
                    <a:prstGeom prst="rect">
                      <a:avLst/>
                    </a:prstGeom>
                  </pic:spPr>
                </pic:pic>
              </a:graphicData>
            </a:graphic>
          </wp:anchor>
        </w:drawing>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依申请公开情况。</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年度无依申请公开的</w:t>
      </w:r>
      <w:r>
        <w:rPr>
          <w:rFonts w:hint="eastAsia" w:ascii="仿宋_GB2312" w:hAnsi="仿宋_GB2312" w:eastAsia="仿宋_GB2312" w:cs="仿宋_GB2312"/>
          <w:sz w:val="32"/>
          <w:szCs w:val="32"/>
          <w:lang w:val="en-US" w:eastAsia="zh-CN"/>
        </w:rPr>
        <w:t>信息。</w:t>
      </w:r>
    </w:p>
    <w:p>
      <w:pPr>
        <w:keepNext w:val="0"/>
        <w:keepLines w:val="0"/>
        <w:pageBreakBefore w:val="0"/>
        <w:numPr>
          <w:numId w:val="0"/>
        </w:numPr>
        <w:kinsoku/>
        <w:wordWrap/>
        <w:overflowPunct/>
        <w:topLinePunct w:val="0"/>
        <w:autoSpaceDE/>
        <w:autoSpaceDN/>
        <w:bidi w:val="0"/>
        <w:adjustRightInd/>
        <w:snapToGrid/>
        <w:spacing w:line="560" w:lineRule="exact"/>
        <w:ind w:leftChars="200"/>
        <w:textAlignment w:val="auto"/>
        <w:rPr>
          <w:rFonts w:hint="eastAsia" w:ascii="仿宋_GB2312" w:hAnsi="仿宋_GB2312" w:eastAsia="仿宋_GB2312" w:cs="仿宋_GB2312"/>
          <w:sz w:val="32"/>
          <w:szCs w:val="32"/>
          <w:lang w:val="en-US" w:eastAsia="zh-CN"/>
        </w:rPr>
      </w:pPr>
    </w:p>
    <w:p>
      <w:pPr>
        <w:keepNext w:val="0"/>
        <w:keepLines w:val="0"/>
        <w:pageBreakBefore w:val="0"/>
        <w:numPr>
          <w:numId w:val="0"/>
        </w:numPr>
        <w:kinsoku/>
        <w:wordWrap/>
        <w:overflowPunct/>
        <w:topLinePunct w:val="0"/>
        <w:autoSpaceDE/>
        <w:autoSpaceDN/>
        <w:bidi w:val="0"/>
        <w:adjustRightInd/>
        <w:snapToGrid/>
        <w:spacing w:line="560" w:lineRule="exact"/>
        <w:textAlignment w:val="auto"/>
        <w:rPr>
          <w:rFonts w:hint="default" w:ascii="黑体" w:hAnsi="黑体" w:eastAsia="黑体" w:cs="黑体"/>
          <w:sz w:val="32"/>
          <w:szCs w:val="32"/>
          <w:lang w:val="en-US" w:eastAsia="zh-CN"/>
        </w:rPr>
      </w:pPr>
      <w:r>
        <w:rPr>
          <w:rFonts w:hint="eastAsia" w:ascii="黑体" w:hAnsi="黑体" w:eastAsia="黑体" w:cs="黑体"/>
          <w:sz w:val="32"/>
          <w:szCs w:val="32"/>
          <w:lang w:eastAsia="zh-CN"/>
        </w:rPr>
        <w:t>（</w:t>
      </w:r>
      <w:r>
        <w:rPr>
          <w:rFonts w:hint="eastAsia" w:ascii="黑体" w:hAnsi="黑体" w:eastAsia="黑体" w:cs="黑体"/>
          <w:sz w:val="32"/>
          <w:szCs w:val="32"/>
          <w:lang w:val="en-US" w:eastAsia="zh-CN"/>
        </w:rPr>
        <w:t>三</w:t>
      </w:r>
      <w:r>
        <w:rPr>
          <w:rFonts w:hint="eastAsia" w:ascii="黑体" w:hAnsi="黑体" w:eastAsia="黑体" w:cs="黑体"/>
          <w:sz w:val="32"/>
          <w:szCs w:val="32"/>
          <w:lang w:eastAsia="zh-CN"/>
        </w:rPr>
        <w:t>）</w:t>
      </w:r>
      <w:r>
        <w:rPr>
          <w:rFonts w:hint="eastAsia" w:ascii="黑体" w:hAnsi="黑体" w:eastAsia="黑体" w:cs="黑体"/>
          <w:sz w:val="32"/>
          <w:szCs w:val="32"/>
        </w:rPr>
        <w:t>政府信息管理情况。</w:t>
      </w:r>
      <w:r>
        <w:rPr>
          <w:rFonts w:hint="eastAsia" w:ascii="仿宋_GB2312" w:hAnsi="仿宋_GB2312" w:eastAsia="仿宋_GB2312" w:cs="仿宋_GB2312"/>
          <w:sz w:val="32"/>
          <w:szCs w:val="32"/>
          <w:lang w:val="en-US" w:eastAsia="zh-CN"/>
        </w:rPr>
        <w:t>2021年我办未发布规范性文件，制定相关政府信息管理制度，加强组织领导，确定完善的领导小组，</w:t>
      </w:r>
      <w:r>
        <w:rPr>
          <w:rFonts w:hint="eastAsia" w:ascii="仿宋_GB2312" w:hAnsi="仿宋_GB2312" w:eastAsia="仿宋_GB2312" w:cs="仿宋_GB2312"/>
          <w:sz w:val="32"/>
          <w:szCs w:val="32"/>
        </w:rPr>
        <w:t>将工作任务落实到具体责任人员，以保障政府信息公开工作的顺利推进。</w:t>
      </w:r>
    </w:p>
    <w:p>
      <w:pPr>
        <w:keepNext w:val="0"/>
        <w:keepLines w:val="0"/>
        <w:pageBreakBefore w:val="0"/>
        <w:numPr>
          <w:numId w:val="0"/>
        </w:numPr>
        <w:kinsoku/>
        <w:wordWrap/>
        <w:overflowPunct/>
        <w:topLinePunct w:val="0"/>
        <w:autoSpaceDE/>
        <w:autoSpaceDN/>
        <w:bidi w:val="0"/>
        <w:adjustRightInd/>
        <w:snapToGrid/>
        <w:spacing w:line="560" w:lineRule="exact"/>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（四）政府信息公开建设平台。</w:t>
      </w:r>
    </w:p>
    <w:p>
      <w:pPr>
        <w:keepNext w:val="0"/>
        <w:keepLines w:val="0"/>
        <w:pageBreakBefore w:val="0"/>
        <w:numPr>
          <w:numId w:val="0"/>
        </w:numPr>
        <w:kinsoku/>
        <w:wordWrap/>
        <w:overflowPunct/>
        <w:topLinePunct w:val="0"/>
        <w:autoSpaceDE/>
        <w:autoSpaceDN/>
        <w:bidi w:val="0"/>
        <w:adjustRightInd/>
        <w:snapToGrid/>
        <w:spacing w:line="560" w:lineRule="exact"/>
        <w:ind w:firstLine="640" w:firstLineChars="200"/>
        <w:textAlignment w:val="auto"/>
        <w:rPr>
          <w:rFonts w:hint="default" w:ascii="黑体" w:hAnsi="黑体" w:eastAsia="黑体" w:cs="黑体"/>
          <w:sz w:val="32"/>
          <w:szCs w:val="32"/>
          <w:highlight w:val="yellow"/>
          <w:lang w:val="en-US"/>
        </w:rPr>
      </w:pPr>
      <w:r>
        <w:rPr>
          <w:rFonts w:hint="eastAsia" w:ascii="仿宋_GB2312" w:hAnsi="仿宋_GB2312" w:eastAsia="仿宋_GB2312" w:cs="仿宋_GB2312"/>
          <w:sz w:val="32"/>
          <w:szCs w:val="32"/>
          <w:lang w:val="en-US" w:eastAsia="zh-CN"/>
        </w:rPr>
        <w:t>我办</w:t>
      </w:r>
      <w:r>
        <w:rPr>
          <w:rFonts w:hint="eastAsia" w:ascii="仿宋_GB2312" w:hAnsi="仿宋_GB2312" w:eastAsia="仿宋_GB2312" w:cs="仿宋_GB2312"/>
          <w:sz w:val="32"/>
          <w:szCs w:val="32"/>
        </w:rPr>
        <w:t>通</w:t>
      </w:r>
      <w:r>
        <w:rPr>
          <w:rFonts w:hint="eastAsia" w:ascii="仿宋_GB2312" w:hAnsi="仿宋_GB2312" w:eastAsia="仿宋_GB2312" w:cs="仿宋_GB2312"/>
          <w:kern w:val="2"/>
          <w:sz w:val="32"/>
          <w:szCs w:val="32"/>
        </w:rPr>
        <w:t>过张店区</w:t>
      </w:r>
      <w:r>
        <w:rPr>
          <w:rFonts w:hint="eastAsia" w:ascii="仿宋_GB2312" w:hAnsi="仿宋_GB2312" w:eastAsia="仿宋_GB2312" w:cs="仿宋_GB2312"/>
          <w:kern w:val="2"/>
          <w:sz w:val="32"/>
          <w:szCs w:val="32"/>
          <w:lang w:val="en-US" w:eastAsia="zh-CN"/>
        </w:rPr>
        <w:t>车站街道办事处</w:t>
      </w:r>
      <w:r>
        <w:rPr>
          <w:rFonts w:hint="eastAsia" w:ascii="仿宋_GB2312" w:hAnsi="仿宋_GB2312" w:eastAsia="仿宋_GB2312" w:cs="仿宋_GB2312"/>
          <w:kern w:val="2"/>
          <w:sz w:val="32"/>
          <w:szCs w:val="32"/>
        </w:rPr>
        <w:t>网站公开政务信息，</w:t>
      </w:r>
      <w:r>
        <w:rPr>
          <w:rFonts w:hint="eastAsia" w:ascii="仿宋_GB2312" w:hAnsi="仿宋_GB2312" w:eastAsia="仿宋_GB2312" w:cs="仿宋_GB2312"/>
          <w:kern w:val="2"/>
          <w:sz w:val="32"/>
          <w:szCs w:val="32"/>
          <w:lang w:eastAsia="zh-CN"/>
        </w:rPr>
        <w:t>做好政府信息公开发布工作，</w:t>
      </w:r>
      <w:r>
        <w:rPr>
          <w:rFonts w:hint="eastAsia" w:ascii="仿宋_GB2312" w:hAnsi="仿宋_GB2312" w:eastAsia="仿宋_GB2312" w:cs="仿宋_GB2312"/>
          <w:kern w:val="2"/>
          <w:sz w:val="32"/>
          <w:szCs w:val="32"/>
          <w:highlight w:val="yellow"/>
          <w:lang w:val="en-US" w:eastAsia="zh-CN"/>
        </w:rPr>
        <w:t>通过张店区车站街道办事处微信公众号发布日常工作动态。</w:t>
      </w:r>
    </w:p>
    <w:p>
      <w:pPr>
        <w:keepNext w:val="0"/>
        <w:keepLines w:val="0"/>
        <w:pageBreakBefore w:val="0"/>
        <w:numPr>
          <w:numId w:val="0"/>
        </w:numPr>
        <w:kinsoku/>
        <w:wordWrap/>
        <w:overflowPunct/>
        <w:topLinePunct w:val="0"/>
        <w:autoSpaceDE/>
        <w:autoSpaceDN/>
        <w:bidi w:val="0"/>
        <w:adjustRightInd/>
        <w:snapToGrid/>
        <w:spacing w:line="560" w:lineRule="exact"/>
        <w:textAlignment w:val="auto"/>
        <w:rPr>
          <w:rFonts w:hint="default" w:ascii="黑体" w:hAnsi="黑体" w:eastAsia="黑体" w:cs="黑体"/>
          <w:sz w:val="32"/>
          <w:szCs w:val="32"/>
          <w:lang w:val="en-US" w:eastAsia="zh-CN"/>
        </w:rPr>
      </w:pPr>
      <w:r>
        <w:rPr>
          <w:rFonts w:hint="eastAsia" w:ascii="黑体" w:hAnsi="黑体" w:eastAsia="黑体" w:cs="黑体"/>
          <w:sz w:val="32"/>
          <w:szCs w:val="32"/>
          <w:lang w:eastAsia="zh-CN"/>
        </w:rPr>
        <w:t>（</w:t>
      </w:r>
      <w:r>
        <w:rPr>
          <w:rFonts w:hint="eastAsia" w:ascii="黑体" w:hAnsi="黑体" w:eastAsia="黑体" w:cs="黑体"/>
          <w:sz w:val="32"/>
          <w:szCs w:val="32"/>
          <w:lang w:val="en-US" w:eastAsia="zh-CN"/>
        </w:rPr>
        <w:t>五</w:t>
      </w:r>
      <w:r>
        <w:rPr>
          <w:rFonts w:hint="eastAsia" w:ascii="黑体" w:hAnsi="黑体" w:eastAsia="黑体" w:cs="黑体"/>
          <w:sz w:val="32"/>
          <w:szCs w:val="32"/>
          <w:lang w:eastAsia="zh-CN"/>
        </w:rPr>
        <w:t>）</w:t>
      </w:r>
      <w:r>
        <w:rPr>
          <w:rFonts w:hint="eastAsia" w:ascii="黑体" w:hAnsi="黑体" w:eastAsia="黑体" w:cs="黑体"/>
          <w:sz w:val="32"/>
          <w:szCs w:val="32"/>
          <w:lang w:val="en-US" w:eastAsia="zh-CN"/>
        </w:rPr>
        <w:t>监督保障</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一是</w:t>
      </w:r>
      <w:r>
        <w:rPr>
          <w:rFonts w:hint="eastAsia" w:ascii="仿宋_GB2312" w:hAnsi="仿宋_GB2312" w:eastAsia="仿宋_GB2312" w:cs="仿宋_GB2312"/>
          <w:sz w:val="32"/>
          <w:szCs w:val="32"/>
          <w:lang w:val="en-US" w:eastAsia="zh-CN"/>
        </w:rPr>
        <w:t>加强组织领导</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发布</w:t>
      </w:r>
      <w:r>
        <w:rPr>
          <w:rFonts w:hint="eastAsia" w:ascii="仿宋_GB2312" w:hAnsi="仿宋_GB2312" w:eastAsia="仿宋_GB2312" w:cs="仿宋_GB2312"/>
          <w:sz w:val="32"/>
          <w:szCs w:val="32"/>
          <w:lang w:eastAsia="zh-CN"/>
        </w:rPr>
        <w:t>《张店区</w:t>
      </w:r>
      <w:r>
        <w:rPr>
          <w:rFonts w:hint="eastAsia" w:ascii="仿宋_GB2312" w:hAnsi="仿宋_GB2312" w:eastAsia="仿宋_GB2312" w:cs="仿宋_GB2312"/>
          <w:sz w:val="32"/>
          <w:szCs w:val="32"/>
          <w:lang w:val="en-US" w:eastAsia="zh-CN"/>
        </w:rPr>
        <w:t>车站街道办事处政务公开领导小组的通知</w:t>
      </w:r>
      <w:r>
        <w:rPr>
          <w:rFonts w:hint="eastAsia" w:ascii="仿宋_GB2312" w:hAnsi="仿宋_GB2312" w:eastAsia="仿宋_GB2312" w:cs="仿宋_GB2312"/>
          <w:sz w:val="32"/>
          <w:szCs w:val="32"/>
          <w:lang w:eastAsia="zh-CN"/>
        </w:rPr>
        <w:t>》，</w:t>
      </w:r>
      <w:bookmarkStart w:id="10" w:name="_GoBack"/>
      <w:bookmarkEnd w:id="10"/>
      <w:r>
        <w:rPr>
          <w:rFonts w:hint="eastAsia" w:ascii="仿宋_GB2312" w:hAnsi="仿宋_GB2312" w:eastAsia="仿宋_GB2312" w:cs="仿宋_GB2312"/>
          <w:sz w:val="32"/>
          <w:szCs w:val="32"/>
          <w:lang w:eastAsia="zh-CN"/>
        </w:rPr>
        <w:t>细化公开内容，进一步提高政务公开工作的针对性和实效性。</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eastAsia" w:ascii="黑体" w:hAnsi="黑体" w:eastAsia="黑体" w:cs="黑体"/>
          <w:sz w:val="32"/>
          <w:szCs w:val="32"/>
          <w:lang w:val="en-US" w:eastAsia="zh-CN"/>
        </w:rPr>
      </w:pPr>
      <w:r>
        <w:rPr>
          <w:rFonts w:hint="eastAsia" w:ascii="仿宋_GB2312" w:hAnsi="仿宋_GB2312" w:eastAsia="仿宋_GB2312" w:cs="仿宋_GB2312"/>
          <w:sz w:val="32"/>
          <w:szCs w:val="32"/>
          <w:lang w:eastAsia="zh-CN"/>
        </w:rPr>
        <w:t>二是加强政务公开业务培训。印发《</w:t>
      </w:r>
      <w:r>
        <w:rPr>
          <w:rFonts w:hint="eastAsia" w:ascii="仿宋_GB2312" w:hAnsi="仿宋_GB2312" w:eastAsia="仿宋_GB2312" w:cs="仿宋_GB2312"/>
          <w:sz w:val="32"/>
          <w:szCs w:val="32"/>
          <w:lang w:val="en-US" w:eastAsia="zh-CN"/>
        </w:rPr>
        <w:t>张店区车站街道办事处2021年政务公开业务培训计划</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2021年召开政务公开推进会议2次，组织全体人员开展政务公开培训1次。</w:t>
      </w:r>
    </w:p>
    <w:p>
      <w:pPr>
        <w:keepNext w:val="0"/>
        <w:keepLines w:val="0"/>
        <w:pageBreakBefore w:val="0"/>
        <w:widowControl w:val="0"/>
        <w:numPr>
          <w:numId w:val="0"/>
        </w:numPr>
        <w:kinsoku/>
        <w:wordWrap/>
        <w:overflowPunct/>
        <w:topLinePunct w:val="0"/>
        <w:autoSpaceDE/>
        <w:autoSpaceDN/>
        <w:bidi w:val="0"/>
        <w:adjustRightInd/>
        <w:snapToGrid/>
        <w:spacing w:line="560" w:lineRule="exact"/>
        <w:jc w:val="both"/>
        <w:textAlignment w:val="auto"/>
        <w:rPr>
          <w:rFonts w:hint="eastAsia" w:ascii="黑体" w:hAnsi="黑体" w:eastAsia="黑体" w:cs="黑体"/>
          <w:sz w:val="32"/>
          <w:szCs w:val="32"/>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rPr>
        <w:t>二、主动公开政府信息情况</w:t>
      </w:r>
    </w:p>
    <w:tbl>
      <w:tblPr>
        <w:tblStyle w:val="3"/>
        <w:tblW w:w="4977" w:type="pct"/>
        <w:tblInd w:w="0" w:type="dxa"/>
        <w:tblLayout w:type="autofit"/>
        <w:tblCellMar>
          <w:top w:w="0" w:type="dxa"/>
          <w:left w:w="108" w:type="dxa"/>
          <w:bottom w:w="0" w:type="dxa"/>
          <w:right w:w="108" w:type="dxa"/>
        </w:tblCellMar>
      </w:tblPr>
      <w:tblGrid>
        <w:gridCol w:w="2120"/>
        <w:gridCol w:w="2121"/>
        <w:gridCol w:w="2121"/>
        <w:gridCol w:w="2121"/>
      </w:tblGrid>
      <w:tr>
        <w:tblPrEx>
          <w:tblCellMar>
            <w:top w:w="0" w:type="dxa"/>
            <w:left w:w="108" w:type="dxa"/>
            <w:bottom w:w="0" w:type="dxa"/>
            <w:right w:w="108" w:type="dxa"/>
          </w:tblCellMar>
        </w:tblPrEx>
        <w:trPr>
          <w:trHeight w:val="454" w:hRule="atLeast"/>
        </w:trPr>
        <w:tc>
          <w:tcPr>
            <w:tcW w:w="5000" w:type="pct"/>
            <w:gridSpan w:val="4"/>
            <w:tcBorders>
              <w:top w:val="single" w:color="auto" w:sz="8" w:space="0"/>
              <w:left w:val="single" w:color="auto" w:sz="8" w:space="0"/>
              <w:bottom w:val="single" w:color="auto" w:sz="8" w:space="0"/>
              <w:right w:val="single" w:color="000000" w:sz="8" w:space="0"/>
            </w:tcBorders>
            <w:shd w:val="clear" w:color="000000" w:fill="C6D9F1"/>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ascii="黑体" w:hAnsi="黑体" w:eastAsia="黑体" w:cs="宋体"/>
                <w:color w:val="000000"/>
                <w:kern w:val="0"/>
                <w:szCs w:val="21"/>
              </w:rPr>
            </w:pPr>
            <w:r>
              <w:rPr>
                <w:rFonts w:hint="eastAsia" w:ascii="黑体" w:hAnsi="黑体" w:eastAsia="黑体" w:cs="宋体"/>
                <w:color w:val="000000"/>
                <w:kern w:val="0"/>
                <w:szCs w:val="21"/>
              </w:rPr>
              <w:t>第二十条第（一）项</w:t>
            </w:r>
          </w:p>
        </w:tc>
      </w:tr>
      <w:tr>
        <w:tblPrEx>
          <w:tblCellMar>
            <w:top w:w="0" w:type="dxa"/>
            <w:left w:w="108" w:type="dxa"/>
            <w:bottom w:w="0" w:type="dxa"/>
            <w:right w:w="108" w:type="dxa"/>
          </w:tblCellMar>
        </w:tblPrEx>
        <w:trPr>
          <w:trHeight w:val="454" w:hRule="atLeast"/>
        </w:trPr>
        <w:tc>
          <w:tcPr>
            <w:tcW w:w="1250" w:type="pct"/>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ascii="仿宋_GB2312" w:hAnsi="宋体" w:eastAsia="仿宋_GB2312" w:cs="宋体"/>
                <w:color w:val="000000"/>
                <w:kern w:val="0"/>
                <w:szCs w:val="21"/>
              </w:rPr>
            </w:pPr>
            <w:r>
              <w:rPr>
                <w:rFonts w:hint="eastAsia" w:ascii="仿宋_GB2312" w:hAnsi="宋体" w:eastAsia="仿宋_GB2312" w:cs="宋体"/>
                <w:color w:val="000000"/>
                <w:kern w:val="0"/>
                <w:szCs w:val="21"/>
              </w:rPr>
              <w:t>信息内容</w:t>
            </w:r>
          </w:p>
        </w:tc>
        <w:tc>
          <w:tcPr>
            <w:tcW w:w="1250" w:type="pct"/>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本年制发件数</w:t>
            </w:r>
          </w:p>
        </w:tc>
        <w:tc>
          <w:tcPr>
            <w:tcW w:w="1250" w:type="pct"/>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本年废止件数</w:t>
            </w:r>
          </w:p>
        </w:tc>
        <w:tc>
          <w:tcPr>
            <w:tcW w:w="1250" w:type="pct"/>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ascii="仿宋_GB2312" w:hAnsi="宋体" w:eastAsia="仿宋_GB2312" w:cs="宋体"/>
                <w:color w:val="000000"/>
                <w:kern w:val="0"/>
                <w:szCs w:val="21"/>
              </w:rPr>
            </w:pPr>
            <w:r>
              <w:rPr>
                <w:rFonts w:hint="eastAsia" w:ascii="仿宋_GB2312" w:hAnsi="宋体" w:eastAsia="仿宋_GB2312" w:cs="宋体"/>
                <w:color w:val="000000"/>
                <w:kern w:val="0"/>
                <w:szCs w:val="21"/>
              </w:rPr>
              <w:t>现行有效件数</w:t>
            </w:r>
          </w:p>
        </w:tc>
      </w:tr>
      <w:tr>
        <w:tblPrEx>
          <w:tblCellMar>
            <w:top w:w="0" w:type="dxa"/>
            <w:left w:w="108" w:type="dxa"/>
            <w:bottom w:w="0" w:type="dxa"/>
            <w:right w:w="108" w:type="dxa"/>
          </w:tblCellMar>
        </w:tblPrEx>
        <w:trPr>
          <w:trHeight w:val="454" w:hRule="atLeast"/>
        </w:trPr>
        <w:tc>
          <w:tcPr>
            <w:tcW w:w="1250" w:type="pct"/>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ascii="仿宋_GB2312" w:hAnsi="宋体" w:eastAsia="仿宋_GB2312" w:cs="宋体"/>
                <w:color w:val="000000"/>
                <w:kern w:val="0"/>
                <w:szCs w:val="21"/>
              </w:rPr>
            </w:pPr>
            <w:r>
              <w:rPr>
                <w:rFonts w:hint="eastAsia" w:ascii="仿宋_GB2312" w:hAnsi="宋体" w:eastAsia="仿宋_GB2312" w:cs="宋体"/>
                <w:color w:val="000000"/>
                <w:kern w:val="0"/>
                <w:szCs w:val="21"/>
              </w:rPr>
              <w:t>规章</w:t>
            </w:r>
          </w:p>
        </w:tc>
        <w:tc>
          <w:tcPr>
            <w:tcW w:w="1250" w:type="pct"/>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仿宋_GB2312" w:hAnsi="宋体" w:eastAsia="仿宋_GB2312" w:cs="宋体"/>
                <w:color w:val="000000"/>
                <w:kern w:val="0"/>
                <w:szCs w:val="21"/>
                <w:lang w:val="en-US" w:eastAsia="zh-CN"/>
              </w:rPr>
            </w:pPr>
            <w:r>
              <w:rPr>
                <w:rFonts w:hint="eastAsia" w:ascii="仿宋_GB2312" w:hAnsi="宋体" w:eastAsia="仿宋_GB2312" w:cs="宋体"/>
                <w:color w:val="000000"/>
                <w:kern w:val="0"/>
                <w:szCs w:val="21"/>
                <w:lang w:val="en-US" w:eastAsia="zh-CN"/>
              </w:rPr>
              <w:t>0</w:t>
            </w:r>
          </w:p>
        </w:tc>
        <w:tc>
          <w:tcPr>
            <w:tcW w:w="1250" w:type="pct"/>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仿宋_GB2312" w:hAnsi="宋体" w:eastAsia="仿宋_GB2312" w:cs="宋体"/>
                <w:color w:val="000000"/>
                <w:kern w:val="0"/>
                <w:szCs w:val="21"/>
                <w:lang w:val="en-US" w:eastAsia="zh-CN"/>
              </w:rPr>
            </w:pPr>
            <w:r>
              <w:rPr>
                <w:rFonts w:hint="eastAsia" w:ascii="仿宋_GB2312" w:hAnsi="宋体" w:eastAsia="仿宋_GB2312" w:cs="宋体"/>
                <w:color w:val="000000"/>
                <w:kern w:val="0"/>
                <w:szCs w:val="21"/>
                <w:lang w:val="en-US" w:eastAsia="zh-CN"/>
              </w:rPr>
              <w:t>0</w:t>
            </w:r>
          </w:p>
        </w:tc>
        <w:tc>
          <w:tcPr>
            <w:tcW w:w="1250" w:type="pct"/>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仿宋_GB2312" w:hAnsi="Calibri" w:eastAsia="仿宋_GB2312" w:cs="Calibri"/>
                <w:color w:val="000000"/>
                <w:kern w:val="0"/>
                <w:szCs w:val="21"/>
                <w:lang w:val="en-US" w:eastAsia="zh-CN"/>
              </w:rPr>
            </w:pPr>
            <w:r>
              <w:rPr>
                <w:rFonts w:hint="eastAsia" w:ascii="仿宋_GB2312" w:hAnsi="Calibri" w:eastAsia="仿宋_GB2312" w:cs="Calibri"/>
                <w:color w:val="000000"/>
                <w:kern w:val="0"/>
                <w:szCs w:val="21"/>
                <w:lang w:val="en-US" w:eastAsia="zh-CN"/>
              </w:rPr>
              <w:t>0</w:t>
            </w:r>
          </w:p>
        </w:tc>
      </w:tr>
      <w:tr>
        <w:tblPrEx>
          <w:tblCellMar>
            <w:top w:w="0" w:type="dxa"/>
            <w:left w:w="108" w:type="dxa"/>
            <w:bottom w:w="0" w:type="dxa"/>
            <w:right w:w="108" w:type="dxa"/>
          </w:tblCellMar>
        </w:tblPrEx>
        <w:trPr>
          <w:trHeight w:val="454" w:hRule="atLeast"/>
        </w:trPr>
        <w:tc>
          <w:tcPr>
            <w:tcW w:w="1250" w:type="pct"/>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ascii="仿宋_GB2312" w:hAnsi="宋体" w:eastAsia="仿宋_GB2312" w:cs="宋体"/>
                <w:color w:val="000000"/>
                <w:kern w:val="0"/>
                <w:szCs w:val="21"/>
              </w:rPr>
            </w:pPr>
            <w:r>
              <w:rPr>
                <w:rFonts w:hint="eastAsia" w:ascii="仿宋_GB2312" w:hAnsi="宋体" w:eastAsia="仿宋_GB2312" w:cs="宋体"/>
                <w:color w:val="000000"/>
                <w:kern w:val="0"/>
                <w:szCs w:val="21"/>
              </w:rPr>
              <w:t>行政规范性文件</w:t>
            </w:r>
          </w:p>
        </w:tc>
        <w:tc>
          <w:tcPr>
            <w:tcW w:w="1250" w:type="pct"/>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仿宋_GB2312" w:hAnsi="宋体" w:eastAsia="仿宋_GB2312" w:cs="宋体"/>
                <w:color w:val="000000"/>
                <w:kern w:val="0"/>
                <w:szCs w:val="21"/>
                <w:lang w:val="en-US" w:eastAsia="zh-CN"/>
              </w:rPr>
            </w:pPr>
            <w:r>
              <w:rPr>
                <w:rFonts w:hint="eastAsia" w:ascii="仿宋_GB2312" w:hAnsi="宋体" w:eastAsia="仿宋_GB2312" w:cs="宋体"/>
                <w:color w:val="000000"/>
                <w:kern w:val="0"/>
                <w:szCs w:val="21"/>
                <w:lang w:val="en-US" w:eastAsia="zh-CN"/>
              </w:rPr>
              <w:t>0</w:t>
            </w:r>
          </w:p>
        </w:tc>
        <w:tc>
          <w:tcPr>
            <w:tcW w:w="1250" w:type="pct"/>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仿宋_GB2312" w:hAnsi="宋体" w:eastAsia="仿宋_GB2312" w:cs="宋体"/>
                <w:color w:val="000000"/>
                <w:kern w:val="0"/>
                <w:szCs w:val="21"/>
                <w:lang w:val="en-US" w:eastAsia="zh-CN"/>
              </w:rPr>
            </w:pPr>
            <w:r>
              <w:rPr>
                <w:rFonts w:hint="eastAsia" w:ascii="仿宋_GB2312" w:hAnsi="宋体" w:eastAsia="仿宋_GB2312" w:cs="宋体"/>
                <w:color w:val="000000"/>
                <w:kern w:val="0"/>
                <w:szCs w:val="21"/>
                <w:lang w:val="en-US" w:eastAsia="zh-CN"/>
              </w:rPr>
              <w:t>0</w:t>
            </w:r>
          </w:p>
        </w:tc>
        <w:tc>
          <w:tcPr>
            <w:tcW w:w="1250" w:type="pct"/>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仿宋_GB2312" w:hAnsi="Calibri" w:eastAsia="仿宋_GB2312" w:cs="Calibri"/>
                <w:color w:val="000000"/>
                <w:kern w:val="0"/>
                <w:szCs w:val="21"/>
                <w:lang w:val="en-US" w:eastAsia="zh-CN"/>
              </w:rPr>
            </w:pPr>
            <w:r>
              <w:rPr>
                <w:rFonts w:hint="eastAsia" w:ascii="仿宋_GB2312" w:hAnsi="Calibri" w:eastAsia="仿宋_GB2312" w:cs="Calibri"/>
                <w:color w:val="000000"/>
                <w:kern w:val="0"/>
                <w:szCs w:val="21"/>
                <w:lang w:val="en-US" w:eastAsia="zh-CN"/>
              </w:rPr>
              <w:t>0</w:t>
            </w:r>
          </w:p>
        </w:tc>
      </w:tr>
      <w:tr>
        <w:tblPrEx>
          <w:tblCellMar>
            <w:top w:w="0" w:type="dxa"/>
            <w:left w:w="108" w:type="dxa"/>
            <w:bottom w:w="0" w:type="dxa"/>
            <w:right w:w="108" w:type="dxa"/>
          </w:tblCellMar>
        </w:tblPrEx>
        <w:trPr>
          <w:trHeight w:val="454" w:hRule="atLeast"/>
        </w:trPr>
        <w:tc>
          <w:tcPr>
            <w:tcW w:w="5000" w:type="pct"/>
            <w:gridSpan w:val="4"/>
            <w:tcBorders>
              <w:top w:val="single" w:color="auto" w:sz="8" w:space="0"/>
              <w:left w:val="single" w:color="auto" w:sz="8" w:space="0"/>
              <w:bottom w:val="single" w:color="auto" w:sz="8" w:space="0"/>
              <w:right w:val="single" w:color="000000" w:sz="8" w:space="0"/>
            </w:tcBorders>
            <w:shd w:val="clear" w:color="000000" w:fill="C6D9F1"/>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ascii="黑体" w:hAnsi="黑体" w:eastAsia="黑体" w:cs="宋体"/>
                <w:color w:val="000000"/>
                <w:kern w:val="0"/>
                <w:szCs w:val="21"/>
              </w:rPr>
            </w:pPr>
            <w:r>
              <w:rPr>
                <w:rFonts w:hint="eastAsia" w:ascii="黑体" w:hAnsi="黑体" w:eastAsia="黑体" w:cs="宋体"/>
                <w:color w:val="000000"/>
                <w:kern w:val="0"/>
                <w:szCs w:val="21"/>
              </w:rPr>
              <w:t>第二十条第（五）项</w:t>
            </w:r>
          </w:p>
        </w:tc>
      </w:tr>
      <w:tr>
        <w:tblPrEx>
          <w:tblCellMar>
            <w:top w:w="0" w:type="dxa"/>
            <w:left w:w="108" w:type="dxa"/>
            <w:bottom w:w="0" w:type="dxa"/>
            <w:right w:w="108" w:type="dxa"/>
          </w:tblCellMar>
        </w:tblPrEx>
        <w:trPr>
          <w:trHeight w:val="454" w:hRule="atLeast"/>
        </w:trPr>
        <w:tc>
          <w:tcPr>
            <w:tcW w:w="1250" w:type="pct"/>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ascii="仿宋_GB2312" w:hAnsi="宋体" w:eastAsia="仿宋_GB2312" w:cs="宋体"/>
                <w:color w:val="000000"/>
                <w:kern w:val="0"/>
                <w:szCs w:val="21"/>
              </w:rPr>
            </w:pPr>
            <w:r>
              <w:rPr>
                <w:rFonts w:hint="eastAsia" w:ascii="仿宋_GB2312" w:hAnsi="宋体" w:eastAsia="仿宋_GB2312" w:cs="宋体"/>
                <w:color w:val="000000"/>
                <w:kern w:val="0"/>
                <w:szCs w:val="21"/>
              </w:rPr>
              <w:t>信息内容</w:t>
            </w:r>
          </w:p>
        </w:tc>
        <w:tc>
          <w:tcPr>
            <w:tcW w:w="3750" w:type="pct"/>
            <w:gridSpan w:val="3"/>
            <w:tcBorders>
              <w:top w:val="single" w:color="auto" w:sz="8" w:space="0"/>
              <w:left w:val="nil"/>
              <w:bottom w:val="single" w:color="auto" w:sz="8" w:space="0"/>
              <w:right w:val="single" w:color="000000" w:sz="8"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本年处理决定数量</w:t>
            </w:r>
          </w:p>
        </w:tc>
      </w:tr>
      <w:tr>
        <w:tblPrEx>
          <w:tblCellMar>
            <w:top w:w="0" w:type="dxa"/>
            <w:left w:w="108" w:type="dxa"/>
            <w:bottom w:w="0" w:type="dxa"/>
            <w:right w:w="108" w:type="dxa"/>
          </w:tblCellMar>
        </w:tblPrEx>
        <w:trPr>
          <w:trHeight w:val="90" w:hRule="atLeast"/>
        </w:trPr>
        <w:tc>
          <w:tcPr>
            <w:tcW w:w="1250" w:type="pct"/>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ascii="仿宋_GB2312" w:hAnsi="宋体" w:eastAsia="仿宋_GB2312" w:cs="宋体"/>
                <w:color w:val="000000"/>
                <w:kern w:val="0"/>
                <w:szCs w:val="21"/>
              </w:rPr>
            </w:pPr>
            <w:r>
              <w:rPr>
                <w:rFonts w:hint="eastAsia" w:ascii="仿宋_GB2312" w:hAnsi="宋体" w:eastAsia="仿宋_GB2312" w:cs="宋体"/>
                <w:color w:val="000000"/>
                <w:kern w:val="0"/>
                <w:szCs w:val="21"/>
              </w:rPr>
              <w:t>行政许可</w:t>
            </w:r>
          </w:p>
        </w:tc>
        <w:tc>
          <w:tcPr>
            <w:tcW w:w="3750" w:type="pct"/>
            <w:gridSpan w:val="3"/>
            <w:tcBorders>
              <w:top w:val="single" w:color="auto" w:sz="8" w:space="0"/>
              <w:left w:val="nil"/>
              <w:bottom w:val="single" w:color="auto" w:sz="8" w:space="0"/>
              <w:right w:val="single" w:color="000000" w:sz="8"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仿宋_GB2312" w:hAnsi="Calibri" w:eastAsia="仿宋_GB2312" w:cs="Calibri"/>
                <w:color w:val="000000"/>
                <w:kern w:val="0"/>
                <w:szCs w:val="21"/>
                <w:lang w:val="en-US" w:eastAsia="zh-CN"/>
              </w:rPr>
            </w:pPr>
            <w:r>
              <w:rPr>
                <w:rFonts w:hint="eastAsia" w:ascii="仿宋_GB2312" w:hAnsi="Calibri" w:eastAsia="仿宋_GB2312" w:cs="Calibri"/>
                <w:color w:val="000000"/>
                <w:kern w:val="0"/>
                <w:szCs w:val="21"/>
                <w:lang w:val="en-US" w:eastAsia="zh-CN"/>
              </w:rPr>
              <w:t>0</w:t>
            </w:r>
          </w:p>
        </w:tc>
      </w:tr>
      <w:tr>
        <w:tblPrEx>
          <w:tblCellMar>
            <w:top w:w="0" w:type="dxa"/>
            <w:left w:w="108" w:type="dxa"/>
            <w:bottom w:w="0" w:type="dxa"/>
            <w:right w:w="108" w:type="dxa"/>
          </w:tblCellMar>
        </w:tblPrEx>
        <w:trPr>
          <w:trHeight w:val="454" w:hRule="atLeast"/>
        </w:trPr>
        <w:tc>
          <w:tcPr>
            <w:tcW w:w="5000" w:type="pct"/>
            <w:gridSpan w:val="4"/>
            <w:tcBorders>
              <w:top w:val="single" w:color="auto" w:sz="8" w:space="0"/>
              <w:left w:val="single" w:color="auto" w:sz="8" w:space="0"/>
              <w:bottom w:val="single" w:color="auto" w:sz="8" w:space="0"/>
              <w:right w:val="single" w:color="000000" w:sz="8" w:space="0"/>
            </w:tcBorders>
            <w:shd w:val="clear" w:color="000000" w:fill="C6D9F1"/>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ascii="黑体" w:hAnsi="黑体" w:eastAsia="黑体" w:cs="宋体"/>
                <w:color w:val="000000"/>
                <w:kern w:val="0"/>
                <w:szCs w:val="21"/>
              </w:rPr>
            </w:pPr>
            <w:r>
              <w:rPr>
                <w:rFonts w:hint="eastAsia" w:ascii="黑体" w:hAnsi="黑体" w:eastAsia="黑体" w:cs="宋体"/>
                <w:color w:val="000000"/>
                <w:kern w:val="0"/>
                <w:szCs w:val="21"/>
              </w:rPr>
              <w:t>第二十条第（六）项</w:t>
            </w:r>
          </w:p>
        </w:tc>
      </w:tr>
      <w:tr>
        <w:tblPrEx>
          <w:tblCellMar>
            <w:top w:w="0" w:type="dxa"/>
            <w:left w:w="108" w:type="dxa"/>
            <w:bottom w:w="0" w:type="dxa"/>
            <w:right w:w="108" w:type="dxa"/>
          </w:tblCellMar>
        </w:tblPrEx>
        <w:trPr>
          <w:trHeight w:val="454" w:hRule="atLeast"/>
        </w:trPr>
        <w:tc>
          <w:tcPr>
            <w:tcW w:w="1250" w:type="pct"/>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ascii="仿宋_GB2312" w:hAnsi="宋体" w:eastAsia="仿宋_GB2312" w:cs="宋体"/>
                <w:color w:val="000000"/>
                <w:kern w:val="0"/>
                <w:szCs w:val="21"/>
              </w:rPr>
            </w:pPr>
            <w:r>
              <w:rPr>
                <w:rFonts w:hint="eastAsia" w:ascii="仿宋_GB2312" w:hAnsi="宋体" w:eastAsia="仿宋_GB2312" w:cs="宋体"/>
                <w:color w:val="000000"/>
                <w:kern w:val="0"/>
                <w:szCs w:val="21"/>
              </w:rPr>
              <w:t>信息内容</w:t>
            </w:r>
          </w:p>
        </w:tc>
        <w:tc>
          <w:tcPr>
            <w:tcW w:w="3750" w:type="pct"/>
            <w:gridSpan w:val="3"/>
            <w:tcBorders>
              <w:top w:val="single" w:color="auto" w:sz="8" w:space="0"/>
              <w:left w:val="nil"/>
              <w:bottom w:val="single" w:color="auto" w:sz="8" w:space="0"/>
              <w:right w:val="single" w:color="000000" w:sz="8"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本年处理决定数量</w:t>
            </w:r>
          </w:p>
        </w:tc>
      </w:tr>
      <w:tr>
        <w:tblPrEx>
          <w:tblCellMar>
            <w:top w:w="0" w:type="dxa"/>
            <w:left w:w="108" w:type="dxa"/>
            <w:bottom w:w="0" w:type="dxa"/>
            <w:right w:w="108" w:type="dxa"/>
          </w:tblCellMar>
        </w:tblPrEx>
        <w:trPr>
          <w:trHeight w:val="454" w:hRule="atLeast"/>
        </w:trPr>
        <w:tc>
          <w:tcPr>
            <w:tcW w:w="1250" w:type="pct"/>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ascii="仿宋_GB2312" w:hAnsi="宋体" w:eastAsia="仿宋_GB2312" w:cs="宋体"/>
                <w:color w:val="000000"/>
                <w:kern w:val="0"/>
                <w:szCs w:val="21"/>
              </w:rPr>
            </w:pPr>
            <w:r>
              <w:rPr>
                <w:rFonts w:hint="eastAsia" w:ascii="仿宋_GB2312" w:hAnsi="宋体" w:eastAsia="仿宋_GB2312" w:cs="宋体"/>
                <w:color w:val="000000"/>
                <w:kern w:val="0"/>
                <w:szCs w:val="21"/>
              </w:rPr>
              <w:t>行政处罚</w:t>
            </w:r>
          </w:p>
        </w:tc>
        <w:tc>
          <w:tcPr>
            <w:tcW w:w="3750" w:type="pct"/>
            <w:gridSpan w:val="3"/>
            <w:tcBorders>
              <w:top w:val="single" w:color="auto" w:sz="8" w:space="0"/>
              <w:left w:val="nil"/>
              <w:bottom w:val="single" w:color="auto" w:sz="8" w:space="0"/>
              <w:right w:val="single" w:color="000000" w:sz="8"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仿宋_GB2312" w:hAnsi="宋体" w:eastAsia="仿宋_GB2312" w:cs="宋体"/>
                <w:color w:val="000000"/>
                <w:kern w:val="0"/>
                <w:szCs w:val="21"/>
                <w:lang w:val="en-US" w:eastAsia="zh-CN"/>
              </w:rPr>
            </w:pPr>
            <w:r>
              <w:rPr>
                <w:rFonts w:hint="eastAsia" w:ascii="仿宋_GB2312" w:hAnsi="宋体" w:eastAsia="仿宋_GB2312" w:cs="宋体"/>
                <w:color w:val="000000"/>
                <w:kern w:val="0"/>
                <w:szCs w:val="21"/>
                <w:lang w:val="en-US" w:eastAsia="zh-CN"/>
              </w:rPr>
              <w:t>0</w:t>
            </w:r>
          </w:p>
        </w:tc>
      </w:tr>
      <w:tr>
        <w:tblPrEx>
          <w:tblCellMar>
            <w:top w:w="0" w:type="dxa"/>
            <w:left w:w="108" w:type="dxa"/>
            <w:bottom w:w="0" w:type="dxa"/>
            <w:right w:w="108" w:type="dxa"/>
          </w:tblCellMar>
        </w:tblPrEx>
        <w:trPr>
          <w:trHeight w:val="454" w:hRule="atLeast"/>
        </w:trPr>
        <w:tc>
          <w:tcPr>
            <w:tcW w:w="1250" w:type="pct"/>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ascii="仿宋_GB2312" w:hAnsi="宋体" w:eastAsia="仿宋_GB2312" w:cs="宋体"/>
                <w:color w:val="000000"/>
                <w:kern w:val="0"/>
                <w:szCs w:val="21"/>
              </w:rPr>
            </w:pPr>
            <w:r>
              <w:rPr>
                <w:rFonts w:hint="eastAsia" w:ascii="仿宋_GB2312" w:hAnsi="宋体" w:eastAsia="仿宋_GB2312" w:cs="宋体"/>
                <w:color w:val="000000"/>
                <w:kern w:val="0"/>
                <w:szCs w:val="21"/>
              </w:rPr>
              <w:t>行政强制</w:t>
            </w:r>
          </w:p>
        </w:tc>
        <w:tc>
          <w:tcPr>
            <w:tcW w:w="3750" w:type="pct"/>
            <w:gridSpan w:val="3"/>
            <w:tcBorders>
              <w:top w:val="single" w:color="auto" w:sz="8" w:space="0"/>
              <w:left w:val="nil"/>
              <w:bottom w:val="single" w:color="auto" w:sz="8" w:space="0"/>
              <w:right w:val="single" w:color="000000" w:sz="8"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仿宋_GB2312" w:hAnsi="宋体" w:eastAsia="仿宋_GB2312" w:cs="宋体"/>
                <w:color w:val="000000"/>
                <w:kern w:val="0"/>
                <w:szCs w:val="21"/>
                <w:lang w:val="en-US" w:eastAsia="zh-CN"/>
              </w:rPr>
            </w:pPr>
            <w:r>
              <w:rPr>
                <w:rFonts w:hint="eastAsia" w:ascii="仿宋_GB2312" w:hAnsi="宋体" w:eastAsia="仿宋_GB2312" w:cs="宋体"/>
                <w:color w:val="000000"/>
                <w:kern w:val="0"/>
                <w:szCs w:val="21"/>
                <w:lang w:val="en-US" w:eastAsia="zh-CN"/>
              </w:rPr>
              <w:t>0</w:t>
            </w:r>
          </w:p>
        </w:tc>
      </w:tr>
      <w:tr>
        <w:tblPrEx>
          <w:tblCellMar>
            <w:top w:w="0" w:type="dxa"/>
            <w:left w:w="108" w:type="dxa"/>
            <w:bottom w:w="0" w:type="dxa"/>
            <w:right w:w="108" w:type="dxa"/>
          </w:tblCellMar>
        </w:tblPrEx>
        <w:trPr>
          <w:trHeight w:val="454" w:hRule="atLeast"/>
        </w:trPr>
        <w:tc>
          <w:tcPr>
            <w:tcW w:w="5000" w:type="pct"/>
            <w:gridSpan w:val="4"/>
            <w:tcBorders>
              <w:top w:val="single" w:color="auto" w:sz="8" w:space="0"/>
              <w:left w:val="single" w:color="auto" w:sz="8" w:space="0"/>
              <w:bottom w:val="single" w:color="auto" w:sz="8" w:space="0"/>
              <w:right w:val="single" w:color="000000" w:sz="8" w:space="0"/>
            </w:tcBorders>
            <w:shd w:val="clear" w:color="000000" w:fill="C6D9F1"/>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ascii="黑体" w:hAnsi="黑体" w:eastAsia="黑体" w:cs="宋体"/>
                <w:color w:val="000000"/>
                <w:kern w:val="0"/>
                <w:szCs w:val="21"/>
              </w:rPr>
            </w:pPr>
            <w:r>
              <w:rPr>
                <w:rFonts w:hint="eastAsia" w:ascii="黑体" w:hAnsi="黑体" w:eastAsia="黑体" w:cs="宋体"/>
                <w:color w:val="000000"/>
                <w:kern w:val="0"/>
                <w:szCs w:val="21"/>
              </w:rPr>
              <w:t>第二十条第（八）项</w:t>
            </w:r>
          </w:p>
        </w:tc>
      </w:tr>
      <w:tr>
        <w:tblPrEx>
          <w:tblCellMar>
            <w:top w:w="0" w:type="dxa"/>
            <w:left w:w="108" w:type="dxa"/>
            <w:bottom w:w="0" w:type="dxa"/>
            <w:right w:w="108" w:type="dxa"/>
          </w:tblCellMar>
        </w:tblPrEx>
        <w:trPr>
          <w:trHeight w:val="454" w:hRule="atLeast"/>
        </w:trPr>
        <w:tc>
          <w:tcPr>
            <w:tcW w:w="1250" w:type="pct"/>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ascii="仿宋_GB2312" w:hAnsi="宋体" w:eastAsia="仿宋_GB2312" w:cs="宋体"/>
                <w:color w:val="000000"/>
                <w:kern w:val="0"/>
                <w:szCs w:val="21"/>
              </w:rPr>
            </w:pPr>
            <w:r>
              <w:rPr>
                <w:rFonts w:hint="eastAsia" w:ascii="仿宋_GB2312" w:hAnsi="宋体" w:eastAsia="仿宋_GB2312" w:cs="宋体"/>
                <w:color w:val="000000"/>
                <w:kern w:val="0"/>
                <w:szCs w:val="21"/>
              </w:rPr>
              <w:t>信息内容</w:t>
            </w:r>
          </w:p>
        </w:tc>
        <w:tc>
          <w:tcPr>
            <w:tcW w:w="3750" w:type="pct"/>
            <w:gridSpan w:val="3"/>
            <w:tcBorders>
              <w:top w:val="single" w:color="auto" w:sz="8" w:space="0"/>
              <w:left w:val="nil"/>
              <w:bottom w:val="single" w:color="auto" w:sz="8" w:space="0"/>
              <w:right w:val="single" w:color="000000" w:sz="8"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本年收费金额（单位：万元）</w:t>
            </w:r>
          </w:p>
        </w:tc>
      </w:tr>
      <w:tr>
        <w:tblPrEx>
          <w:tblCellMar>
            <w:top w:w="0" w:type="dxa"/>
            <w:left w:w="108" w:type="dxa"/>
            <w:bottom w:w="0" w:type="dxa"/>
            <w:right w:w="108" w:type="dxa"/>
          </w:tblCellMar>
        </w:tblPrEx>
        <w:trPr>
          <w:trHeight w:val="454" w:hRule="atLeast"/>
        </w:trPr>
        <w:tc>
          <w:tcPr>
            <w:tcW w:w="1250" w:type="pct"/>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ascii="仿宋_GB2312" w:hAnsi="宋体" w:eastAsia="仿宋_GB2312" w:cs="宋体"/>
                <w:color w:val="000000"/>
                <w:kern w:val="0"/>
                <w:szCs w:val="21"/>
              </w:rPr>
            </w:pPr>
            <w:r>
              <w:rPr>
                <w:rFonts w:hint="eastAsia" w:ascii="仿宋_GB2312" w:hAnsi="宋体" w:eastAsia="仿宋_GB2312" w:cs="宋体"/>
                <w:color w:val="000000"/>
                <w:kern w:val="0"/>
                <w:szCs w:val="21"/>
              </w:rPr>
              <w:t>行政事业性收费</w:t>
            </w:r>
          </w:p>
        </w:tc>
        <w:tc>
          <w:tcPr>
            <w:tcW w:w="3750" w:type="pct"/>
            <w:gridSpan w:val="3"/>
            <w:tcBorders>
              <w:top w:val="single" w:color="auto" w:sz="8" w:space="0"/>
              <w:left w:val="nil"/>
              <w:bottom w:val="single" w:color="auto" w:sz="8" w:space="0"/>
              <w:right w:val="single" w:color="000000" w:sz="8"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仿宋_GB2312" w:hAnsi="Calibri" w:eastAsia="仿宋_GB2312" w:cs="Calibri"/>
                <w:color w:val="000000"/>
                <w:kern w:val="0"/>
                <w:szCs w:val="21"/>
                <w:lang w:val="en-US" w:eastAsia="zh-CN"/>
              </w:rPr>
            </w:pPr>
            <w:r>
              <w:rPr>
                <w:rFonts w:hint="eastAsia" w:ascii="仿宋_GB2312" w:hAnsi="Calibri" w:eastAsia="仿宋_GB2312" w:cs="Calibri"/>
                <w:color w:val="000000"/>
                <w:kern w:val="0"/>
                <w:szCs w:val="21"/>
                <w:lang w:val="en-US" w:eastAsia="zh-CN"/>
              </w:rPr>
              <w:t>0</w:t>
            </w:r>
          </w:p>
        </w:tc>
      </w:tr>
    </w:tbl>
    <w:p>
      <w:pPr>
        <w:keepNext w:val="0"/>
        <w:keepLines w:val="0"/>
        <w:pageBreakBefore w:val="0"/>
        <w:kinsoku/>
        <w:wordWrap/>
        <w:overflowPunct/>
        <w:topLinePunct w:val="0"/>
        <w:autoSpaceDE/>
        <w:autoSpaceDN/>
        <w:bidi w:val="0"/>
        <w:adjustRightInd/>
        <w:snapToGrid/>
        <w:spacing w:line="560" w:lineRule="exact"/>
        <w:textAlignment w:val="auto"/>
        <w:rPr>
          <w:rFonts w:hint="eastAsia" w:ascii="黑体" w:hAnsi="黑体" w:eastAsia="黑体" w:cs="黑体"/>
          <w:sz w:val="32"/>
          <w:szCs w:val="32"/>
          <w:lang w:eastAsia="zh-CN"/>
        </w:rPr>
      </w:pPr>
    </w:p>
    <w:p>
      <w:pPr>
        <w:keepNext w:val="0"/>
        <w:keepLines w:val="0"/>
        <w:pageBreakBefore w:val="0"/>
        <w:kinsoku/>
        <w:wordWrap/>
        <w:overflowPunct/>
        <w:topLinePunct w:val="0"/>
        <w:autoSpaceDE/>
        <w:autoSpaceDN/>
        <w:bidi w:val="0"/>
        <w:adjustRightInd/>
        <w:snapToGrid/>
        <w:spacing w:line="560" w:lineRule="exact"/>
        <w:textAlignment w:val="auto"/>
        <w:rPr>
          <w:rFonts w:hint="eastAsia" w:ascii="黑体" w:hAnsi="黑体" w:eastAsia="黑体" w:cs="黑体"/>
          <w:sz w:val="32"/>
          <w:szCs w:val="32"/>
        </w:rPr>
      </w:pPr>
    </w:p>
    <w:p>
      <w:pPr>
        <w:keepNext w:val="0"/>
        <w:keepLines w:val="0"/>
        <w:pageBreakBefore w:val="0"/>
        <w:kinsoku/>
        <w:wordWrap/>
        <w:overflowPunct/>
        <w:topLinePunct w:val="0"/>
        <w:autoSpaceDE/>
        <w:autoSpaceDN/>
        <w:bidi w:val="0"/>
        <w:adjustRightInd/>
        <w:snapToGrid/>
        <w:spacing w:line="560" w:lineRule="exact"/>
        <w:textAlignment w:val="auto"/>
        <w:rPr>
          <w:rFonts w:hint="eastAsia" w:ascii="黑体" w:hAnsi="黑体" w:eastAsia="黑体" w:cs="黑体"/>
          <w:sz w:val="32"/>
          <w:szCs w:val="32"/>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三、收到和处理政府信息公开申请情况</w:t>
      </w:r>
    </w:p>
    <w:tbl>
      <w:tblPr>
        <w:tblStyle w:val="3"/>
        <w:tblW w:w="931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422"/>
        <w:gridCol w:w="1706"/>
        <w:gridCol w:w="2908"/>
        <w:gridCol w:w="562"/>
        <w:gridCol w:w="570"/>
        <w:gridCol w:w="570"/>
        <w:gridCol w:w="735"/>
        <w:gridCol w:w="712"/>
        <w:gridCol w:w="447"/>
        <w:gridCol w:w="68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85" w:hRule="atLeast"/>
          <w:jc w:val="center"/>
        </w:trPr>
        <w:tc>
          <w:tcPr>
            <w:tcW w:w="5036" w:type="dxa"/>
            <w:gridSpan w:val="3"/>
            <w:vMerge w:val="restart"/>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ascii="仿宋_GB2312" w:hAnsi="Times New Roman" w:eastAsia="仿宋_GB2312"/>
                <w:szCs w:val="21"/>
              </w:rPr>
            </w:pPr>
            <w:r>
              <w:rPr>
                <w:rFonts w:hint="eastAsia" w:ascii="楷体_GB2312" w:hAnsi="黑体" w:eastAsia="楷体_GB2312"/>
                <w:kern w:val="0"/>
                <w:szCs w:val="21"/>
              </w:rPr>
              <w:t>（本列数据的勾稽关系为：第一项加第二项之和，等于第三项加第四项之和）</w:t>
            </w:r>
          </w:p>
        </w:tc>
        <w:tc>
          <w:tcPr>
            <w:tcW w:w="4283" w:type="dxa"/>
            <w:gridSpan w:val="7"/>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ascii="黑体" w:hAnsi="黑体" w:eastAsia="黑体"/>
                <w:szCs w:val="21"/>
              </w:rPr>
            </w:pPr>
            <w:r>
              <w:rPr>
                <w:rFonts w:hint="eastAsia" w:ascii="黑体" w:hAnsi="黑体" w:eastAsia="黑体"/>
                <w:kern w:val="0"/>
                <w:szCs w:val="21"/>
              </w:rPr>
              <w:t>申请人情况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67" w:hRule="atLeast"/>
          <w:jc w:val="center"/>
        </w:trPr>
        <w:tc>
          <w:tcPr>
            <w:tcW w:w="5036" w:type="dxa"/>
            <w:gridSpan w:val="3"/>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ascii="仿宋_GB2312" w:hAnsi="Times New Roman" w:eastAsia="仿宋_GB2312"/>
                <w:szCs w:val="21"/>
              </w:rPr>
            </w:pPr>
          </w:p>
        </w:tc>
        <w:tc>
          <w:tcPr>
            <w:tcW w:w="562" w:type="dxa"/>
            <w:vMerge w:val="restart"/>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ascii="黑体" w:hAnsi="黑体" w:eastAsia="黑体"/>
                <w:szCs w:val="21"/>
              </w:rPr>
            </w:pPr>
            <w:r>
              <w:rPr>
                <w:rFonts w:hint="eastAsia" w:ascii="黑体" w:hAnsi="黑体" w:eastAsia="黑体"/>
                <w:kern w:val="0"/>
                <w:szCs w:val="21"/>
              </w:rPr>
              <w:t>自然人</w:t>
            </w:r>
          </w:p>
        </w:tc>
        <w:tc>
          <w:tcPr>
            <w:tcW w:w="3034" w:type="dxa"/>
            <w:gridSpan w:val="5"/>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ascii="黑体" w:hAnsi="黑体" w:eastAsia="黑体"/>
                <w:szCs w:val="21"/>
              </w:rPr>
            </w:pPr>
            <w:r>
              <w:rPr>
                <w:rFonts w:hint="eastAsia" w:ascii="黑体" w:hAnsi="黑体" w:eastAsia="黑体"/>
                <w:kern w:val="0"/>
                <w:szCs w:val="21"/>
              </w:rPr>
              <w:t>法人或其他组织</w:t>
            </w:r>
          </w:p>
        </w:tc>
        <w:tc>
          <w:tcPr>
            <w:tcW w:w="687" w:type="dxa"/>
            <w:vMerge w:val="restart"/>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ascii="黑体" w:hAnsi="黑体" w:eastAsia="黑体"/>
                <w:szCs w:val="21"/>
              </w:rPr>
            </w:pPr>
            <w:r>
              <w:rPr>
                <w:rFonts w:hint="eastAsia" w:ascii="黑体" w:hAnsi="黑体" w:eastAsia="黑体"/>
                <w:kern w:val="0"/>
                <w:szCs w:val="21"/>
              </w:rPr>
              <w:t>总计</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018" w:hRule="atLeast"/>
          <w:jc w:val="center"/>
        </w:trPr>
        <w:tc>
          <w:tcPr>
            <w:tcW w:w="5036" w:type="dxa"/>
            <w:gridSpan w:val="3"/>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ascii="仿宋_GB2312" w:hAnsi="Times New Roman" w:eastAsia="仿宋_GB2312"/>
                <w:szCs w:val="21"/>
              </w:rPr>
            </w:pPr>
          </w:p>
        </w:tc>
        <w:tc>
          <w:tcPr>
            <w:tcW w:w="562"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ascii="黑体" w:hAnsi="黑体" w:eastAsia="黑体"/>
                <w:szCs w:val="21"/>
              </w:rPr>
            </w:pPr>
          </w:p>
        </w:tc>
        <w:tc>
          <w:tcPr>
            <w:tcW w:w="570"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hanging="1"/>
              <w:jc w:val="center"/>
              <w:textAlignment w:val="auto"/>
              <w:rPr>
                <w:rFonts w:ascii="黑体" w:hAnsi="黑体" w:eastAsia="黑体"/>
                <w:szCs w:val="21"/>
              </w:rPr>
            </w:pPr>
            <w:r>
              <w:rPr>
                <w:rFonts w:hint="eastAsia" w:ascii="黑体" w:hAnsi="黑体" w:eastAsia="黑体"/>
                <w:kern w:val="0"/>
                <w:szCs w:val="21"/>
              </w:rPr>
              <w:t>商业企业</w:t>
            </w:r>
          </w:p>
        </w:tc>
        <w:tc>
          <w:tcPr>
            <w:tcW w:w="570"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ascii="黑体" w:hAnsi="黑体" w:eastAsia="黑体"/>
                <w:szCs w:val="21"/>
              </w:rPr>
            </w:pPr>
            <w:r>
              <w:rPr>
                <w:rFonts w:hint="eastAsia" w:ascii="黑体" w:hAnsi="黑体" w:eastAsia="黑体"/>
                <w:kern w:val="0"/>
                <w:szCs w:val="21"/>
              </w:rPr>
              <w:t>科研机构</w:t>
            </w:r>
          </w:p>
        </w:tc>
        <w:tc>
          <w:tcPr>
            <w:tcW w:w="735"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ascii="黑体" w:hAnsi="黑体" w:eastAsia="黑体"/>
                <w:szCs w:val="21"/>
              </w:rPr>
            </w:pPr>
            <w:r>
              <w:rPr>
                <w:rFonts w:hint="eastAsia" w:ascii="黑体" w:hAnsi="黑体" w:eastAsia="黑体"/>
                <w:kern w:val="0"/>
                <w:szCs w:val="21"/>
              </w:rPr>
              <w:t>社会公益组织</w:t>
            </w:r>
          </w:p>
        </w:tc>
        <w:tc>
          <w:tcPr>
            <w:tcW w:w="712"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hanging="1"/>
              <w:jc w:val="center"/>
              <w:textAlignment w:val="auto"/>
              <w:rPr>
                <w:rFonts w:ascii="黑体" w:hAnsi="黑体" w:eastAsia="黑体"/>
                <w:szCs w:val="21"/>
              </w:rPr>
            </w:pPr>
            <w:r>
              <w:rPr>
                <w:rFonts w:hint="eastAsia" w:ascii="黑体" w:hAnsi="黑体" w:eastAsia="黑体"/>
                <w:kern w:val="0"/>
                <w:szCs w:val="21"/>
              </w:rPr>
              <w:t>法律服务机构</w:t>
            </w:r>
          </w:p>
        </w:tc>
        <w:tc>
          <w:tcPr>
            <w:tcW w:w="44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ascii="黑体" w:hAnsi="黑体" w:eastAsia="黑体"/>
                <w:szCs w:val="21"/>
              </w:rPr>
            </w:pPr>
            <w:r>
              <w:rPr>
                <w:rFonts w:hint="eastAsia" w:ascii="黑体" w:hAnsi="黑体" w:eastAsia="黑体"/>
                <w:kern w:val="0"/>
                <w:szCs w:val="21"/>
              </w:rPr>
              <w:t>其他</w:t>
            </w:r>
          </w:p>
        </w:tc>
        <w:tc>
          <w:tcPr>
            <w:tcW w:w="687"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ascii="仿宋_GB2312" w:hAnsi="Times New Roman" w:eastAsia="仿宋_GB2312"/>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77" w:hRule="atLeast"/>
          <w:jc w:val="center"/>
        </w:trPr>
        <w:tc>
          <w:tcPr>
            <w:tcW w:w="5036" w:type="dxa"/>
            <w:gridSpan w:val="3"/>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zCs w:val="21"/>
              </w:rPr>
            </w:pPr>
            <w:r>
              <w:rPr>
                <w:rFonts w:hint="eastAsia" w:ascii="黑体" w:hAnsi="黑体" w:eastAsia="黑体"/>
                <w:kern w:val="0"/>
                <w:szCs w:val="21"/>
              </w:rPr>
              <w:t>一、</w:t>
            </w:r>
            <w:bookmarkStart w:id="0" w:name="_Hlk66973412"/>
            <w:r>
              <w:rPr>
                <w:rFonts w:hint="eastAsia" w:ascii="黑体" w:hAnsi="黑体" w:eastAsia="黑体"/>
                <w:kern w:val="0"/>
                <w:szCs w:val="21"/>
              </w:rPr>
              <w:t>本年新收政府信息公开申请数量</w:t>
            </w:r>
            <w:bookmarkEnd w:id="0"/>
          </w:p>
        </w:tc>
        <w:tc>
          <w:tcPr>
            <w:tcW w:w="562"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default"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70"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70"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35"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12"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44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8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default"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77" w:hRule="atLeast"/>
          <w:jc w:val="center"/>
        </w:trPr>
        <w:tc>
          <w:tcPr>
            <w:tcW w:w="5036" w:type="dxa"/>
            <w:gridSpan w:val="3"/>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zCs w:val="21"/>
              </w:rPr>
            </w:pPr>
            <w:r>
              <w:rPr>
                <w:rFonts w:hint="eastAsia" w:ascii="黑体" w:hAnsi="黑体" w:eastAsia="黑体"/>
                <w:kern w:val="0"/>
                <w:szCs w:val="21"/>
              </w:rPr>
              <w:t>二、上年结转政府信息公开申请数量</w:t>
            </w:r>
          </w:p>
        </w:tc>
        <w:tc>
          <w:tcPr>
            <w:tcW w:w="562"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70"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70"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35"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12"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44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8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77" w:hRule="atLeast"/>
          <w:jc w:val="center"/>
        </w:trPr>
        <w:tc>
          <w:tcPr>
            <w:tcW w:w="422" w:type="dxa"/>
            <w:vMerge w:val="restart"/>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zCs w:val="21"/>
              </w:rPr>
            </w:pPr>
            <w:r>
              <w:rPr>
                <w:rFonts w:hint="eastAsia" w:ascii="黑体" w:hAnsi="黑体" w:eastAsia="黑体"/>
                <w:kern w:val="0"/>
                <w:szCs w:val="21"/>
              </w:rPr>
              <w:t>三、本年度办理结果</w:t>
            </w:r>
          </w:p>
        </w:tc>
        <w:tc>
          <w:tcPr>
            <w:tcW w:w="4614" w:type="dxa"/>
            <w:gridSpan w:val="2"/>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zCs w:val="21"/>
              </w:rPr>
            </w:pPr>
            <w:r>
              <w:rPr>
                <w:rFonts w:hint="eastAsia" w:ascii="黑体" w:hAnsi="黑体" w:eastAsia="黑体"/>
                <w:kern w:val="0"/>
                <w:szCs w:val="21"/>
              </w:rPr>
              <w:t>（一）予以公开</w:t>
            </w:r>
          </w:p>
        </w:tc>
        <w:tc>
          <w:tcPr>
            <w:tcW w:w="562"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default"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70"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70"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35"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12"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44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8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default"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25" w:hRule="atLeast"/>
          <w:jc w:val="center"/>
        </w:trPr>
        <w:tc>
          <w:tcPr>
            <w:tcW w:w="422"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zCs w:val="21"/>
              </w:rPr>
            </w:pPr>
          </w:p>
        </w:tc>
        <w:tc>
          <w:tcPr>
            <w:tcW w:w="4614" w:type="dxa"/>
            <w:gridSpan w:val="2"/>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zCs w:val="21"/>
              </w:rPr>
            </w:pPr>
            <w:r>
              <w:rPr>
                <w:rFonts w:hint="eastAsia" w:ascii="黑体" w:hAnsi="黑体" w:eastAsia="黑体"/>
                <w:kern w:val="0"/>
                <w:szCs w:val="21"/>
              </w:rPr>
              <w:t>（二）部分公开（</w:t>
            </w:r>
            <w:bookmarkStart w:id="1" w:name="_Hlk66973981"/>
            <w:r>
              <w:rPr>
                <w:rFonts w:hint="eastAsia" w:ascii="黑体" w:hAnsi="黑体" w:eastAsia="黑体"/>
                <w:kern w:val="0"/>
                <w:szCs w:val="21"/>
              </w:rPr>
              <w:t>区分处理的，只计这一情形，不计其他情形</w:t>
            </w:r>
            <w:bookmarkEnd w:id="1"/>
            <w:r>
              <w:rPr>
                <w:rFonts w:hint="eastAsia" w:ascii="黑体" w:hAnsi="黑体" w:eastAsia="黑体"/>
                <w:kern w:val="0"/>
                <w:szCs w:val="21"/>
              </w:rPr>
              <w:t>）</w:t>
            </w:r>
          </w:p>
        </w:tc>
        <w:tc>
          <w:tcPr>
            <w:tcW w:w="562"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default"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70"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70"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35"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12"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44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8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default"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92" w:hRule="exact"/>
          <w:jc w:val="center"/>
        </w:trPr>
        <w:tc>
          <w:tcPr>
            <w:tcW w:w="422"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zCs w:val="21"/>
              </w:rPr>
            </w:pPr>
          </w:p>
        </w:tc>
        <w:tc>
          <w:tcPr>
            <w:tcW w:w="1706" w:type="dxa"/>
            <w:vMerge w:val="restart"/>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pacing w:val="-20"/>
                <w:szCs w:val="21"/>
              </w:rPr>
            </w:pPr>
            <w:r>
              <w:rPr>
                <w:rFonts w:hint="eastAsia" w:ascii="黑体" w:hAnsi="黑体" w:eastAsia="黑体"/>
                <w:spacing w:val="-20"/>
                <w:kern w:val="0"/>
                <w:szCs w:val="21"/>
              </w:rPr>
              <w:t>（三）不予公开</w:t>
            </w:r>
          </w:p>
        </w:tc>
        <w:tc>
          <w:tcPr>
            <w:tcW w:w="2908"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仿宋_GB2312" w:hAnsi="黑体" w:eastAsia="仿宋_GB2312"/>
                <w:kern w:val="0"/>
                <w:szCs w:val="21"/>
              </w:rPr>
            </w:pPr>
            <w:r>
              <w:rPr>
                <w:rFonts w:hint="eastAsia" w:ascii="仿宋_GB2312" w:hAnsi="黑体" w:eastAsia="仿宋_GB2312"/>
                <w:kern w:val="0"/>
                <w:szCs w:val="21"/>
              </w:rPr>
              <w:t>1.属于国家秘密</w:t>
            </w:r>
          </w:p>
        </w:tc>
        <w:tc>
          <w:tcPr>
            <w:tcW w:w="562"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70"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70"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35"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12"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44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8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66" w:hRule="exact"/>
          <w:jc w:val="center"/>
        </w:trPr>
        <w:tc>
          <w:tcPr>
            <w:tcW w:w="422"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zCs w:val="21"/>
              </w:rPr>
            </w:pPr>
          </w:p>
        </w:tc>
        <w:tc>
          <w:tcPr>
            <w:tcW w:w="1706"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pacing w:val="-20"/>
                <w:szCs w:val="21"/>
              </w:rPr>
            </w:pPr>
          </w:p>
        </w:tc>
        <w:tc>
          <w:tcPr>
            <w:tcW w:w="2908"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仿宋_GB2312" w:hAnsi="黑体" w:eastAsia="仿宋_GB2312"/>
                <w:kern w:val="0"/>
                <w:szCs w:val="21"/>
              </w:rPr>
            </w:pPr>
            <w:r>
              <w:rPr>
                <w:rFonts w:hint="eastAsia" w:ascii="仿宋_GB2312" w:hAnsi="黑体" w:eastAsia="仿宋_GB2312"/>
                <w:kern w:val="0"/>
                <w:szCs w:val="21"/>
              </w:rPr>
              <w:t>2.</w:t>
            </w:r>
            <w:bookmarkStart w:id="2" w:name="_Hlk66974104"/>
            <w:r>
              <w:rPr>
                <w:rFonts w:hint="eastAsia" w:ascii="仿宋_GB2312" w:hAnsi="黑体" w:eastAsia="仿宋_GB2312"/>
                <w:kern w:val="0"/>
                <w:szCs w:val="21"/>
              </w:rPr>
              <w:t>其他法律行政法规禁止公开</w:t>
            </w:r>
            <w:bookmarkEnd w:id="2"/>
          </w:p>
        </w:tc>
        <w:tc>
          <w:tcPr>
            <w:tcW w:w="562"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70"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70"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35"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12"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44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8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50" w:hRule="exact"/>
          <w:jc w:val="center"/>
        </w:trPr>
        <w:tc>
          <w:tcPr>
            <w:tcW w:w="422"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zCs w:val="21"/>
              </w:rPr>
            </w:pPr>
          </w:p>
        </w:tc>
        <w:tc>
          <w:tcPr>
            <w:tcW w:w="1706"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pacing w:val="-20"/>
                <w:szCs w:val="21"/>
              </w:rPr>
            </w:pPr>
          </w:p>
        </w:tc>
        <w:tc>
          <w:tcPr>
            <w:tcW w:w="2908"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仿宋_GB2312" w:hAnsi="黑体" w:eastAsia="仿宋_GB2312"/>
                <w:kern w:val="0"/>
                <w:szCs w:val="21"/>
              </w:rPr>
            </w:pPr>
            <w:r>
              <w:rPr>
                <w:rFonts w:hint="eastAsia" w:ascii="仿宋_GB2312" w:hAnsi="黑体" w:eastAsia="仿宋_GB2312"/>
                <w:kern w:val="0"/>
                <w:szCs w:val="21"/>
              </w:rPr>
              <w:t>3.危及“三安全一稳定”</w:t>
            </w:r>
          </w:p>
        </w:tc>
        <w:tc>
          <w:tcPr>
            <w:tcW w:w="562"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70"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70"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35"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12"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44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8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68" w:hRule="exact"/>
          <w:jc w:val="center"/>
        </w:trPr>
        <w:tc>
          <w:tcPr>
            <w:tcW w:w="422"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zCs w:val="21"/>
              </w:rPr>
            </w:pPr>
          </w:p>
        </w:tc>
        <w:tc>
          <w:tcPr>
            <w:tcW w:w="1706"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pacing w:val="-20"/>
                <w:szCs w:val="21"/>
              </w:rPr>
            </w:pPr>
          </w:p>
        </w:tc>
        <w:tc>
          <w:tcPr>
            <w:tcW w:w="2908"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仿宋_GB2312" w:hAnsi="黑体" w:eastAsia="仿宋_GB2312"/>
                <w:kern w:val="0"/>
                <w:szCs w:val="21"/>
              </w:rPr>
            </w:pPr>
            <w:r>
              <w:rPr>
                <w:rFonts w:hint="eastAsia" w:ascii="仿宋_GB2312" w:hAnsi="黑体" w:eastAsia="仿宋_GB2312"/>
                <w:kern w:val="0"/>
                <w:szCs w:val="21"/>
              </w:rPr>
              <w:t>4.</w:t>
            </w:r>
            <w:bookmarkStart w:id="3" w:name="_Hlk66974290"/>
            <w:r>
              <w:rPr>
                <w:rFonts w:hint="eastAsia" w:ascii="仿宋_GB2312" w:hAnsi="黑体" w:eastAsia="仿宋_GB2312"/>
                <w:kern w:val="0"/>
                <w:szCs w:val="21"/>
              </w:rPr>
              <w:t>保护第三方合法权益</w:t>
            </w:r>
            <w:bookmarkEnd w:id="3"/>
          </w:p>
        </w:tc>
        <w:tc>
          <w:tcPr>
            <w:tcW w:w="562"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70"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70"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35"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12"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44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8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89" w:hRule="exact"/>
          <w:jc w:val="center"/>
        </w:trPr>
        <w:tc>
          <w:tcPr>
            <w:tcW w:w="422"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zCs w:val="21"/>
              </w:rPr>
            </w:pPr>
          </w:p>
        </w:tc>
        <w:tc>
          <w:tcPr>
            <w:tcW w:w="1706"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pacing w:val="-20"/>
                <w:szCs w:val="21"/>
              </w:rPr>
            </w:pPr>
          </w:p>
        </w:tc>
        <w:tc>
          <w:tcPr>
            <w:tcW w:w="2908"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仿宋_GB2312" w:hAnsi="黑体" w:eastAsia="仿宋_GB2312"/>
                <w:kern w:val="0"/>
                <w:szCs w:val="21"/>
              </w:rPr>
            </w:pPr>
            <w:r>
              <w:rPr>
                <w:rFonts w:hint="eastAsia" w:ascii="仿宋_GB2312" w:hAnsi="黑体" w:eastAsia="仿宋_GB2312"/>
                <w:kern w:val="0"/>
                <w:szCs w:val="21"/>
              </w:rPr>
              <w:t>5.属于三类内部事务信息</w:t>
            </w:r>
          </w:p>
        </w:tc>
        <w:tc>
          <w:tcPr>
            <w:tcW w:w="562"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70"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570"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735"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712"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44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68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11" w:hRule="exact"/>
          <w:jc w:val="center"/>
        </w:trPr>
        <w:tc>
          <w:tcPr>
            <w:tcW w:w="422"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zCs w:val="21"/>
              </w:rPr>
            </w:pPr>
          </w:p>
        </w:tc>
        <w:tc>
          <w:tcPr>
            <w:tcW w:w="1706"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pacing w:val="-20"/>
                <w:szCs w:val="21"/>
              </w:rPr>
            </w:pPr>
          </w:p>
        </w:tc>
        <w:tc>
          <w:tcPr>
            <w:tcW w:w="2908"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仿宋_GB2312" w:hAnsi="黑体" w:eastAsia="仿宋_GB2312"/>
                <w:kern w:val="0"/>
                <w:szCs w:val="21"/>
              </w:rPr>
            </w:pPr>
            <w:r>
              <w:rPr>
                <w:rFonts w:hint="eastAsia" w:ascii="仿宋_GB2312" w:hAnsi="黑体" w:eastAsia="仿宋_GB2312"/>
                <w:kern w:val="0"/>
                <w:szCs w:val="21"/>
              </w:rPr>
              <w:t>6.</w:t>
            </w:r>
            <w:bookmarkStart w:id="4" w:name="_Hlk66974555"/>
            <w:r>
              <w:rPr>
                <w:rFonts w:hint="eastAsia" w:ascii="仿宋_GB2312" w:hAnsi="黑体" w:eastAsia="仿宋_GB2312"/>
                <w:kern w:val="0"/>
                <w:szCs w:val="21"/>
              </w:rPr>
              <w:t>属于四类过程性信息</w:t>
            </w:r>
            <w:bookmarkEnd w:id="4"/>
          </w:p>
        </w:tc>
        <w:tc>
          <w:tcPr>
            <w:tcW w:w="562"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70"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570"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735"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712"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44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68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11" w:hRule="exact"/>
          <w:jc w:val="center"/>
        </w:trPr>
        <w:tc>
          <w:tcPr>
            <w:tcW w:w="422"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zCs w:val="21"/>
              </w:rPr>
            </w:pPr>
          </w:p>
        </w:tc>
        <w:tc>
          <w:tcPr>
            <w:tcW w:w="1706"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pacing w:val="-20"/>
                <w:szCs w:val="21"/>
              </w:rPr>
            </w:pPr>
          </w:p>
        </w:tc>
        <w:tc>
          <w:tcPr>
            <w:tcW w:w="2908"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仿宋_GB2312" w:hAnsi="黑体" w:eastAsia="仿宋_GB2312"/>
                <w:kern w:val="0"/>
                <w:szCs w:val="21"/>
              </w:rPr>
            </w:pPr>
            <w:r>
              <w:rPr>
                <w:rFonts w:hint="eastAsia" w:ascii="仿宋_GB2312" w:hAnsi="黑体" w:eastAsia="仿宋_GB2312"/>
                <w:kern w:val="0"/>
                <w:szCs w:val="21"/>
              </w:rPr>
              <w:t>7.属于行政执法案卷</w:t>
            </w:r>
          </w:p>
        </w:tc>
        <w:tc>
          <w:tcPr>
            <w:tcW w:w="562"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70"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570"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735"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712"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44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68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49" w:hRule="exact"/>
          <w:jc w:val="center"/>
        </w:trPr>
        <w:tc>
          <w:tcPr>
            <w:tcW w:w="422"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zCs w:val="21"/>
              </w:rPr>
            </w:pPr>
          </w:p>
        </w:tc>
        <w:tc>
          <w:tcPr>
            <w:tcW w:w="1706"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pacing w:val="-20"/>
                <w:szCs w:val="21"/>
              </w:rPr>
            </w:pPr>
          </w:p>
        </w:tc>
        <w:tc>
          <w:tcPr>
            <w:tcW w:w="2908"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仿宋_GB2312" w:hAnsi="黑体" w:eastAsia="仿宋_GB2312"/>
                <w:kern w:val="0"/>
                <w:szCs w:val="21"/>
              </w:rPr>
            </w:pPr>
            <w:r>
              <w:rPr>
                <w:rFonts w:hint="eastAsia" w:ascii="仿宋_GB2312" w:hAnsi="黑体" w:eastAsia="仿宋_GB2312"/>
                <w:kern w:val="0"/>
                <w:szCs w:val="21"/>
              </w:rPr>
              <w:t>8.</w:t>
            </w:r>
            <w:bookmarkStart w:id="5" w:name="_Hlk66975211"/>
            <w:r>
              <w:rPr>
                <w:rFonts w:hint="eastAsia" w:ascii="仿宋_GB2312" w:hAnsi="黑体" w:eastAsia="仿宋_GB2312"/>
                <w:kern w:val="0"/>
                <w:szCs w:val="21"/>
              </w:rPr>
              <w:t>属于行政查询事项</w:t>
            </w:r>
            <w:bookmarkEnd w:id="5"/>
          </w:p>
        </w:tc>
        <w:tc>
          <w:tcPr>
            <w:tcW w:w="562"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default"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70"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570"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735"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712"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44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68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66" w:hRule="exact"/>
          <w:jc w:val="center"/>
        </w:trPr>
        <w:tc>
          <w:tcPr>
            <w:tcW w:w="422"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zCs w:val="21"/>
              </w:rPr>
            </w:pPr>
          </w:p>
        </w:tc>
        <w:tc>
          <w:tcPr>
            <w:tcW w:w="1706" w:type="dxa"/>
            <w:vMerge w:val="restart"/>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pacing w:val="-20"/>
                <w:szCs w:val="21"/>
              </w:rPr>
            </w:pPr>
            <w:r>
              <w:rPr>
                <w:rFonts w:hint="eastAsia" w:ascii="黑体" w:hAnsi="黑体" w:eastAsia="黑体"/>
                <w:spacing w:val="-20"/>
                <w:kern w:val="0"/>
                <w:szCs w:val="21"/>
              </w:rPr>
              <w:t>（四）无法提供</w:t>
            </w:r>
          </w:p>
        </w:tc>
        <w:tc>
          <w:tcPr>
            <w:tcW w:w="2908"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仿宋_GB2312" w:hAnsi="黑体" w:eastAsia="仿宋_GB2312"/>
                <w:kern w:val="0"/>
                <w:szCs w:val="21"/>
              </w:rPr>
            </w:pPr>
            <w:r>
              <w:rPr>
                <w:rFonts w:hint="eastAsia" w:ascii="仿宋_GB2312" w:hAnsi="黑体" w:eastAsia="仿宋_GB2312"/>
                <w:kern w:val="0"/>
                <w:szCs w:val="21"/>
              </w:rPr>
              <w:t>1.本机关不掌握相关政府信息</w:t>
            </w:r>
          </w:p>
        </w:tc>
        <w:tc>
          <w:tcPr>
            <w:tcW w:w="562"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default"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70"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570"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735"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712"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44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68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default"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66" w:hRule="exact"/>
          <w:jc w:val="center"/>
        </w:trPr>
        <w:tc>
          <w:tcPr>
            <w:tcW w:w="422"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zCs w:val="21"/>
              </w:rPr>
            </w:pPr>
          </w:p>
        </w:tc>
        <w:tc>
          <w:tcPr>
            <w:tcW w:w="1706"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pacing w:val="-20"/>
                <w:szCs w:val="21"/>
              </w:rPr>
            </w:pPr>
          </w:p>
        </w:tc>
        <w:tc>
          <w:tcPr>
            <w:tcW w:w="2908"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仿宋_GB2312" w:hAnsi="黑体" w:eastAsia="仿宋_GB2312"/>
                <w:kern w:val="0"/>
                <w:szCs w:val="21"/>
              </w:rPr>
            </w:pPr>
            <w:r>
              <w:rPr>
                <w:rFonts w:hint="eastAsia" w:ascii="仿宋_GB2312" w:hAnsi="黑体" w:eastAsia="仿宋_GB2312"/>
                <w:kern w:val="0"/>
                <w:szCs w:val="21"/>
              </w:rPr>
              <w:t>2.</w:t>
            </w:r>
            <w:bookmarkStart w:id="6" w:name="_Hlk66975392"/>
            <w:r>
              <w:rPr>
                <w:rFonts w:hint="eastAsia" w:ascii="仿宋_GB2312" w:hAnsi="黑体" w:eastAsia="仿宋_GB2312"/>
                <w:kern w:val="0"/>
                <w:szCs w:val="21"/>
              </w:rPr>
              <w:t>没有现成信息需要另行制作</w:t>
            </w:r>
            <w:bookmarkEnd w:id="6"/>
          </w:p>
        </w:tc>
        <w:tc>
          <w:tcPr>
            <w:tcW w:w="562"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default"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70"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570"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735"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712"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44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68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default"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88" w:hRule="exact"/>
          <w:jc w:val="center"/>
        </w:trPr>
        <w:tc>
          <w:tcPr>
            <w:tcW w:w="422"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zCs w:val="21"/>
              </w:rPr>
            </w:pPr>
          </w:p>
        </w:tc>
        <w:tc>
          <w:tcPr>
            <w:tcW w:w="1706"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pacing w:val="-20"/>
                <w:szCs w:val="21"/>
              </w:rPr>
            </w:pPr>
          </w:p>
        </w:tc>
        <w:tc>
          <w:tcPr>
            <w:tcW w:w="2908"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仿宋_GB2312" w:hAnsi="黑体" w:eastAsia="仿宋_GB2312"/>
                <w:kern w:val="0"/>
                <w:szCs w:val="21"/>
              </w:rPr>
            </w:pPr>
            <w:r>
              <w:rPr>
                <w:rFonts w:hint="eastAsia" w:ascii="仿宋_GB2312" w:hAnsi="黑体" w:eastAsia="仿宋_GB2312"/>
                <w:kern w:val="0"/>
                <w:szCs w:val="21"/>
              </w:rPr>
              <w:t>3.</w:t>
            </w:r>
            <w:bookmarkStart w:id="7" w:name="_Hlk66975466"/>
            <w:r>
              <w:rPr>
                <w:rFonts w:hint="eastAsia" w:ascii="仿宋_GB2312" w:hAnsi="黑体" w:eastAsia="仿宋_GB2312"/>
                <w:kern w:val="0"/>
                <w:szCs w:val="21"/>
              </w:rPr>
              <w:t>补正后申请内容仍不明确</w:t>
            </w:r>
            <w:bookmarkEnd w:id="7"/>
          </w:p>
        </w:tc>
        <w:tc>
          <w:tcPr>
            <w:tcW w:w="562"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70"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570"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735"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712"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44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68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68" w:hRule="exact"/>
          <w:jc w:val="center"/>
        </w:trPr>
        <w:tc>
          <w:tcPr>
            <w:tcW w:w="422"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zCs w:val="21"/>
              </w:rPr>
            </w:pPr>
          </w:p>
        </w:tc>
        <w:tc>
          <w:tcPr>
            <w:tcW w:w="1706" w:type="dxa"/>
            <w:vMerge w:val="restart"/>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pacing w:val="-20"/>
                <w:szCs w:val="21"/>
              </w:rPr>
            </w:pPr>
            <w:r>
              <w:rPr>
                <w:rFonts w:hint="eastAsia" w:ascii="黑体" w:hAnsi="黑体" w:eastAsia="黑体"/>
                <w:spacing w:val="-20"/>
                <w:kern w:val="0"/>
                <w:szCs w:val="21"/>
              </w:rPr>
              <w:t>（五）不予处理</w:t>
            </w:r>
          </w:p>
        </w:tc>
        <w:tc>
          <w:tcPr>
            <w:tcW w:w="2908"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仿宋_GB2312" w:hAnsi="黑体" w:eastAsia="仿宋_GB2312"/>
                <w:kern w:val="0"/>
                <w:szCs w:val="21"/>
              </w:rPr>
            </w:pPr>
            <w:r>
              <w:rPr>
                <w:rFonts w:hint="eastAsia" w:ascii="仿宋_GB2312" w:hAnsi="黑体" w:eastAsia="仿宋_GB2312"/>
                <w:kern w:val="0"/>
                <w:szCs w:val="21"/>
              </w:rPr>
              <w:t>1.</w:t>
            </w:r>
            <w:bookmarkStart w:id="8" w:name="_Hlk66975537"/>
            <w:r>
              <w:rPr>
                <w:rFonts w:hint="eastAsia" w:ascii="仿宋_GB2312" w:hAnsi="黑体" w:eastAsia="仿宋_GB2312"/>
                <w:kern w:val="0"/>
                <w:szCs w:val="21"/>
              </w:rPr>
              <w:t>信访举报投诉类申请</w:t>
            </w:r>
            <w:bookmarkEnd w:id="8"/>
          </w:p>
        </w:tc>
        <w:tc>
          <w:tcPr>
            <w:tcW w:w="562"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70"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570"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735"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712"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44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68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29" w:hRule="exact"/>
          <w:jc w:val="center"/>
        </w:trPr>
        <w:tc>
          <w:tcPr>
            <w:tcW w:w="422"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zCs w:val="21"/>
              </w:rPr>
            </w:pPr>
          </w:p>
        </w:tc>
        <w:tc>
          <w:tcPr>
            <w:tcW w:w="1706"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pacing w:val="-20"/>
                <w:szCs w:val="21"/>
              </w:rPr>
            </w:pPr>
          </w:p>
        </w:tc>
        <w:tc>
          <w:tcPr>
            <w:tcW w:w="2908"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仿宋_GB2312" w:hAnsi="黑体" w:eastAsia="仿宋_GB2312"/>
                <w:kern w:val="0"/>
                <w:szCs w:val="21"/>
              </w:rPr>
            </w:pPr>
            <w:r>
              <w:rPr>
                <w:rFonts w:hint="eastAsia" w:ascii="仿宋_GB2312" w:hAnsi="黑体" w:eastAsia="仿宋_GB2312"/>
                <w:kern w:val="0"/>
                <w:szCs w:val="21"/>
              </w:rPr>
              <w:t>2.重复申请</w:t>
            </w:r>
          </w:p>
        </w:tc>
        <w:tc>
          <w:tcPr>
            <w:tcW w:w="562"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70"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570"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735"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712"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44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68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11" w:hRule="exact"/>
          <w:jc w:val="center"/>
        </w:trPr>
        <w:tc>
          <w:tcPr>
            <w:tcW w:w="422"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zCs w:val="21"/>
              </w:rPr>
            </w:pPr>
          </w:p>
        </w:tc>
        <w:tc>
          <w:tcPr>
            <w:tcW w:w="1706"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pacing w:val="-20"/>
                <w:szCs w:val="21"/>
              </w:rPr>
            </w:pPr>
          </w:p>
        </w:tc>
        <w:tc>
          <w:tcPr>
            <w:tcW w:w="2908"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仿宋_GB2312" w:hAnsi="黑体" w:eastAsia="仿宋_GB2312"/>
                <w:szCs w:val="21"/>
              </w:rPr>
            </w:pPr>
            <w:r>
              <w:rPr>
                <w:rFonts w:hint="eastAsia" w:ascii="仿宋_GB2312" w:hAnsi="黑体" w:eastAsia="仿宋_GB2312"/>
                <w:kern w:val="0"/>
                <w:szCs w:val="21"/>
              </w:rPr>
              <w:t>3.要求提供公开出版物</w:t>
            </w:r>
          </w:p>
        </w:tc>
        <w:tc>
          <w:tcPr>
            <w:tcW w:w="562"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70"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570"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735"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712"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44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68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default"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08" w:hRule="exact"/>
          <w:jc w:val="center"/>
        </w:trPr>
        <w:tc>
          <w:tcPr>
            <w:tcW w:w="422"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zCs w:val="21"/>
              </w:rPr>
            </w:pPr>
          </w:p>
        </w:tc>
        <w:tc>
          <w:tcPr>
            <w:tcW w:w="1706"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pacing w:val="-20"/>
                <w:szCs w:val="21"/>
              </w:rPr>
            </w:pPr>
          </w:p>
        </w:tc>
        <w:tc>
          <w:tcPr>
            <w:tcW w:w="2908"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仿宋_GB2312" w:hAnsi="黑体" w:eastAsia="仿宋_GB2312"/>
                <w:szCs w:val="21"/>
              </w:rPr>
            </w:pPr>
            <w:r>
              <w:rPr>
                <w:rFonts w:hint="eastAsia" w:ascii="仿宋_GB2312" w:hAnsi="黑体" w:eastAsia="仿宋_GB2312"/>
                <w:kern w:val="0"/>
                <w:szCs w:val="21"/>
              </w:rPr>
              <w:t>4.无正当理由大量反复申请</w:t>
            </w:r>
          </w:p>
        </w:tc>
        <w:tc>
          <w:tcPr>
            <w:tcW w:w="562"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70"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570"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735"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712"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44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68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25" w:hRule="atLeast"/>
          <w:jc w:val="center"/>
        </w:trPr>
        <w:tc>
          <w:tcPr>
            <w:tcW w:w="422"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zCs w:val="21"/>
              </w:rPr>
            </w:pPr>
          </w:p>
        </w:tc>
        <w:tc>
          <w:tcPr>
            <w:tcW w:w="1706"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pacing w:val="-20"/>
                <w:szCs w:val="21"/>
              </w:rPr>
            </w:pPr>
          </w:p>
        </w:tc>
        <w:tc>
          <w:tcPr>
            <w:tcW w:w="2908"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仿宋_GB2312" w:hAnsi="黑体" w:eastAsia="仿宋_GB2312"/>
                <w:kern w:val="0"/>
                <w:szCs w:val="21"/>
              </w:rPr>
            </w:pPr>
            <w:r>
              <w:rPr>
                <w:rFonts w:hint="eastAsia" w:ascii="仿宋_GB2312" w:hAnsi="黑体" w:eastAsia="仿宋_GB2312"/>
                <w:kern w:val="0"/>
                <w:szCs w:val="21"/>
              </w:rPr>
              <w:t>5.要求行政机关确认或重新</w:t>
            </w:r>
          </w:p>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firstLine="210" w:firstLineChars="100"/>
              <w:textAlignment w:val="auto"/>
              <w:rPr>
                <w:rFonts w:ascii="仿宋_GB2312" w:hAnsi="黑体" w:eastAsia="仿宋_GB2312"/>
                <w:szCs w:val="21"/>
              </w:rPr>
            </w:pPr>
            <w:r>
              <w:rPr>
                <w:rFonts w:hint="eastAsia" w:ascii="仿宋_GB2312" w:hAnsi="黑体" w:eastAsia="仿宋_GB2312"/>
                <w:kern w:val="0"/>
                <w:szCs w:val="21"/>
              </w:rPr>
              <w:t>出具已获取信息</w:t>
            </w:r>
          </w:p>
        </w:tc>
        <w:tc>
          <w:tcPr>
            <w:tcW w:w="562"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70"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570"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735"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712"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44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68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771" w:hRule="atLeast"/>
          <w:jc w:val="center"/>
        </w:trPr>
        <w:tc>
          <w:tcPr>
            <w:tcW w:w="422"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zCs w:val="21"/>
              </w:rPr>
            </w:pPr>
          </w:p>
        </w:tc>
        <w:tc>
          <w:tcPr>
            <w:tcW w:w="1706" w:type="dxa"/>
            <w:vMerge w:val="restart"/>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pacing w:val="-20"/>
                <w:kern w:val="0"/>
                <w:szCs w:val="21"/>
              </w:rPr>
            </w:pPr>
            <w:r>
              <w:rPr>
                <w:rFonts w:hint="eastAsia" w:ascii="黑体" w:hAnsi="黑体" w:eastAsia="黑体"/>
                <w:spacing w:val="-20"/>
                <w:kern w:val="0"/>
                <w:szCs w:val="21"/>
              </w:rPr>
              <w:t>（六）其他处理</w:t>
            </w:r>
          </w:p>
        </w:tc>
        <w:tc>
          <w:tcPr>
            <w:tcW w:w="2908"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仿宋_GB2312" w:hAnsi="楷体" w:eastAsia="仿宋_GB2312"/>
              </w:rPr>
            </w:pPr>
            <w:r>
              <w:rPr>
                <w:rFonts w:hint="eastAsia" w:ascii="仿宋_GB2312" w:hAnsi="楷体" w:eastAsia="仿宋_GB2312"/>
              </w:rPr>
              <w:t>1.申请人无正当理由逾期不补正、行政机关不再处理其政府信息公开申请</w:t>
            </w:r>
          </w:p>
        </w:tc>
        <w:tc>
          <w:tcPr>
            <w:tcW w:w="562"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70"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70"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35"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12"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44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8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771" w:hRule="atLeast"/>
          <w:jc w:val="center"/>
        </w:trPr>
        <w:tc>
          <w:tcPr>
            <w:tcW w:w="422"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zCs w:val="21"/>
              </w:rPr>
            </w:pPr>
          </w:p>
        </w:tc>
        <w:tc>
          <w:tcPr>
            <w:tcW w:w="1706"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kern w:val="0"/>
                <w:szCs w:val="21"/>
              </w:rPr>
            </w:pPr>
          </w:p>
        </w:tc>
        <w:tc>
          <w:tcPr>
            <w:tcW w:w="2908"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仿宋_GB2312" w:hAnsi="黑体" w:eastAsia="仿宋_GB2312"/>
                <w:kern w:val="0"/>
                <w:szCs w:val="21"/>
              </w:rPr>
            </w:pPr>
            <w:r>
              <w:rPr>
                <w:rFonts w:hint="eastAsia" w:ascii="仿宋_GB2312" w:hAnsi="楷体" w:eastAsia="仿宋_GB2312"/>
              </w:rPr>
              <w:t>2.申请人逾期未按收费通知要求缴纳费用、行政机关不再处理其政府信息公开申请</w:t>
            </w:r>
          </w:p>
        </w:tc>
        <w:tc>
          <w:tcPr>
            <w:tcW w:w="562"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70"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70"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35"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12"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44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8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77" w:hRule="atLeast"/>
          <w:jc w:val="center"/>
        </w:trPr>
        <w:tc>
          <w:tcPr>
            <w:tcW w:w="422"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zCs w:val="21"/>
              </w:rPr>
            </w:pPr>
          </w:p>
        </w:tc>
        <w:tc>
          <w:tcPr>
            <w:tcW w:w="1706"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kern w:val="0"/>
                <w:szCs w:val="21"/>
              </w:rPr>
            </w:pPr>
          </w:p>
        </w:tc>
        <w:tc>
          <w:tcPr>
            <w:tcW w:w="2908"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仿宋_GB2312" w:hAnsi="黑体" w:eastAsia="仿宋_GB2312"/>
                <w:kern w:val="0"/>
                <w:szCs w:val="21"/>
              </w:rPr>
            </w:pPr>
            <w:r>
              <w:rPr>
                <w:rFonts w:hint="eastAsia" w:ascii="仿宋_GB2312" w:hAnsi="楷体" w:eastAsia="仿宋_GB2312"/>
              </w:rPr>
              <w:t>3.其他</w:t>
            </w:r>
          </w:p>
        </w:tc>
        <w:tc>
          <w:tcPr>
            <w:tcW w:w="562"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70"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70"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35"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12"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44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8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77" w:hRule="atLeast"/>
          <w:jc w:val="center"/>
        </w:trPr>
        <w:tc>
          <w:tcPr>
            <w:tcW w:w="422"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zCs w:val="21"/>
              </w:rPr>
            </w:pPr>
          </w:p>
        </w:tc>
        <w:tc>
          <w:tcPr>
            <w:tcW w:w="4614" w:type="dxa"/>
            <w:gridSpan w:val="2"/>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kern w:val="0"/>
                <w:szCs w:val="21"/>
              </w:rPr>
            </w:pPr>
            <w:r>
              <w:rPr>
                <w:rFonts w:hint="eastAsia" w:ascii="黑体" w:hAnsi="黑体" w:eastAsia="黑体"/>
                <w:kern w:val="0"/>
                <w:szCs w:val="21"/>
              </w:rPr>
              <w:t>（七）总计</w:t>
            </w:r>
          </w:p>
        </w:tc>
        <w:tc>
          <w:tcPr>
            <w:tcW w:w="562"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default"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70"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70"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35"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12"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44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8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default"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46" w:hRule="atLeast"/>
          <w:jc w:val="center"/>
        </w:trPr>
        <w:tc>
          <w:tcPr>
            <w:tcW w:w="5036" w:type="dxa"/>
            <w:gridSpan w:val="3"/>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kern w:val="0"/>
                <w:szCs w:val="21"/>
              </w:rPr>
            </w:pPr>
            <w:r>
              <w:rPr>
                <w:rFonts w:hint="eastAsia" w:ascii="黑体" w:hAnsi="黑体" w:eastAsia="黑体"/>
                <w:kern w:val="0"/>
                <w:szCs w:val="21"/>
              </w:rPr>
              <w:t>四、结转下年度继续办理</w:t>
            </w:r>
          </w:p>
        </w:tc>
        <w:tc>
          <w:tcPr>
            <w:tcW w:w="562"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70"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70"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35"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712"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44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87"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bl>
    <w:p>
      <w:pPr>
        <w:keepNext w:val="0"/>
        <w:keepLines w:val="0"/>
        <w:pageBreakBefore w:val="0"/>
        <w:kinsoku/>
        <w:wordWrap/>
        <w:overflowPunct/>
        <w:topLinePunct w:val="0"/>
        <w:autoSpaceDE/>
        <w:autoSpaceDN/>
        <w:bidi w:val="0"/>
        <w:adjustRightInd/>
        <w:snapToGrid/>
        <w:spacing w:line="560" w:lineRule="exact"/>
        <w:textAlignment w:val="auto"/>
        <w:rPr>
          <w:rFonts w:hint="eastAsia" w:ascii="黑体" w:hAnsi="黑体" w:eastAsia="黑体" w:cs="黑体"/>
          <w:sz w:val="32"/>
          <w:szCs w:val="32"/>
        </w:rPr>
      </w:pPr>
    </w:p>
    <w:p>
      <w:pPr>
        <w:keepNext w:val="0"/>
        <w:keepLines w:val="0"/>
        <w:pageBreakBefore w:val="0"/>
        <w:kinsoku/>
        <w:wordWrap/>
        <w:overflowPunct/>
        <w:topLinePunct w:val="0"/>
        <w:autoSpaceDE/>
        <w:autoSpaceDN/>
        <w:bidi w:val="0"/>
        <w:adjustRightInd/>
        <w:snapToGrid/>
        <w:spacing w:line="560" w:lineRule="exact"/>
        <w:textAlignment w:val="auto"/>
        <w:rPr>
          <w:rFonts w:hint="eastAsia" w:ascii="黑体" w:hAnsi="黑体" w:eastAsia="黑体" w:cs="黑体"/>
          <w:sz w:val="32"/>
          <w:szCs w:val="32"/>
        </w:rPr>
      </w:pPr>
    </w:p>
    <w:p>
      <w:pPr>
        <w:keepNext w:val="0"/>
        <w:keepLines w:val="0"/>
        <w:pageBreakBefore w:val="0"/>
        <w:kinsoku/>
        <w:wordWrap/>
        <w:overflowPunct/>
        <w:topLinePunct w:val="0"/>
        <w:autoSpaceDE/>
        <w:autoSpaceDN/>
        <w:bidi w:val="0"/>
        <w:adjustRightInd/>
        <w:snapToGrid/>
        <w:spacing w:line="560" w:lineRule="exact"/>
        <w:textAlignment w:val="auto"/>
        <w:rPr>
          <w:rFonts w:hint="eastAsia" w:ascii="黑体" w:hAnsi="黑体" w:eastAsia="黑体" w:cs="黑体"/>
          <w:sz w:val="32"/>
          <w:szCs w:val="32"/>
        </w:rPr>
      </w:pPr>
      <w:r>
        <w:rPr>
          <w:rFonts w:hint="eastAsia" w:ascii="黑体" w:hAnsi="黑体" w:eastAsia="黑体" w:cs="黑体"/>
          <w:sz w:val="32"/>
          <w:szCs w:val="32"/>
        </w:rPr>
        <w:t>四、政府信息公开行政复议、行政诉讼情况</w:t>
      </w:r>
    </w:p>
    <w:tbl>
      <w:tblPr>
        <w:tblStyle w:val="3"/>
        <w:tblW w:w="9071"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604"/>
        <w:gridCol w:w="604"/>
        <w:gridCol w:w="604"/>
        <w:gridCol w:w="604"/>
        <w:gridCol w:w="658"/>
        <w:gridCol w:w="550"/>
        <w:gridCol w:w="605"/>
        <w:gridCol w:w="605"/>
        <w:gridCol w:w="605"/>
        <w:gridCol w:w="605"/>
        <w:gridCol w:w="605"/>
        <w:gridCol w:w="605"/>
        <w:gridCol w:w="605"/>
        <w:gridCol w:w="606"/>
        <w:gridCol w:w="606"/>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97" w:hRule="atLeast"/>
          <w:jc w:val="center"/>
        </w:trPr>
        <w:tc>
          <w:tcPr>
            <w:tcW w:w="3074"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ascii="黑体" w:hAnsi="黑体" w:eastAsia="黑体"/>
              </w:rPr>
            </w:pPr>
            <w:r>
              <w:rPr>
                <w:rFonts w:ascii="黑体" w:hAnsi="黑体" w:eastAsia="黑体"/>
                <w:kern w:val="0"/>
                <w:sz w:val="20"/>
                <w:szCs w:val="20"/>
              </w:rPr>
              <w:t>行政复议</w:t>
            </w:r>
          </w:p>
        </w:tc>
        <w:tc>
          <w:tcPr>
            <w:tcW w:w="5997" w:type="dxa"/>
            <w:gridSpan w:val="10"/>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ascii="黑体" w:hAnsi="黑体" w:eastAsia="黑体"/>
              </w:rPr>
            </w:pPr>
            <w:r>
              <w:rPr>
                <w:rFonts w:ascii="黑体" w:hAnsi="黑体" w:eastAsia="黑体"/>
                <w:kern w:val="0"/>
                <w:sz w:val="20"/>
                <w:szCs w:val="20"/>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7" w:hRule="atLeast"/>
          <w:jc w:val="center"/>
        </w:trPr>
        <w:tc>
          <w:tcPr>
            <w:tcW w:w="604" w:type="dxa"/>
            <w:vMerge w:val="restart"/>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ind w:left="-149" w:leftChars="-71" w:right="-170" w:rightChars="-81"/>
              <w:jc w:val="center"/>
              <w:textAlignment w:val="auto"/>
              <w:rPr>
                <w:rFonts w:ascii="黑体" w:hAnsi="黑体" w:eastAsia="黑体"/>
                <w:kern w:val="0"/>
                <w:sz w:val="20"/>
                <w:szCs w:val="20"/>
              </w:rPr>
            </w:pPr>
            <w:r>
              <w:rPr>
                <w:rFonts w:ascii="黑体" w:hAnsi="黑体" w:eastAsia="黑体"/>
                <w:kern w:val="0"/>
                <w:sz w:val="20"/>
                <w:szCs w:val="20"/>
              </w:rPr>
              <w:t>结果</w:t>
            </w:r>
          </w:p>
          <w:p>
            <w:pPr>
              <w:keepNext w:val="0"/>
              <w:keepLines w:val="0"/>
              <w:pageBreakBefore w:val="0"/>
              <w:widowControl/>
              <w:kinsoku/>
              <w:wordWrap/>
              <w:overflowPunct/>
              <w:topLinePunct w:val="0"/>
              <w:autoSpaceDE/>
              <w:autoSpaceDN/>
              <w:bidi w:val="0"/>
              <w:adjustRightInd w:val="0"/>
              <w:snapToGrid w:val="0"/>
              <w:spacing w:after="0"/>
              <w:ind w:left="-149" w:leftChars="-71" w:right="-170" w:rightChars="-81"/>
              <w:jc w:val="center"/>
              <w:textAlignment w:val="auto"/>
              <w:rPr>
                <w:rFonts w:ascii="黑体" w:hAnsi="黑体" w:eastAsia="黑体"/>
              </w:rPr>
            </w:pPr>
            <w:r>
              <w:rPr>
                <w:rFonts w:ascii="黑体" w:hAnsi="黑体" w:eastAsia="黑体"/>
                <w:kern w:val="0"/>
                <w:sz w:val="20"/>
                <w:szCs w:val="20"/>
              </w:rPr>
              <w:t>维持</w:t>
            </w:r>
          </w:p>
        </w:tc>
        <w:tc>
          <w:tcPr>
            <w:tcW w:w="604" w:type="dxa"/>
            <w:vMerge w:val="restart"/>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ind w:left="-43" w:leftChars="-21" w:right="-132" w:rightChars="-63" w:hanging="1"/>
              <w:jc w:val="center"/>
              <w:textAlignment w:val="auto"/>
              <w:rPr>
                <w:rFonts w:ascii="黑体" w:hAnsi="黑体" w:eastAsia="黑体"/>
              </w:rPr>
            </w:pPr>
            <w:r>
              <w:rPr>
                <w:rFonts w:ascii="黑体" w:hAnsi="黑体" w:eastAsia="黑体"/>
                <w:kern w:val="0"/>
                <w:sz w:val="20"/>
                <w:szCs w:val="20"/>
              </w:rPr>
              <w:t>结果纠正</w:t>
            </w:r>
          </w:p>
        </w:tc>
        <w:tc>
          <w:tcPr>
            <w:tcW w:w="604"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ind w:left="-82" w:leftChars="-39" w:right="-97" w:rightChars="-46"/>
              <w:jc w:val="center"/>
              <w:textAlignment w:val="auto"/>
              <w:rPr>
                <w:rFonts w:ascii="黑体" w:hAnsi="黑体" w:eastAsia="黑体"/>
              </w:rPr>
            </w:pPr>
            <w:r>
              <w:rPr>
                <w:rFonts w:ascii="黑体" w:hAnsi="黑体" w:eastAsia="黑体"/>
                <w:kern w:val="0"/>
                <w:sz w:val="20"/>
                <w:szCs w:val="20"/>
              </w:rPr>
              <w:t>其他结果</w:t>
            </w:r>
          </w:p>
        </w:tc>
        <w:tc>
          <w:tcPr>
            <w:tcW w:w="604"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ind w:left="-118" w:leftChars="-56" w:right="-118" w:rightChars="-56"/>
              <w:jc w:val="center"/>
              <w:textAlignment w:val="auto"/>
              <w:rPr>
                <w:rFonts w:ascii="黑体" w:hAnsi="黑体" w:eastAsia="黑体"/>
                <w:kern w:val="0"/>
                <w:sz w:val="20"/>
                <w:szCs w:val="20"/>
              </w:rPr>
            </w:pPr>
            <w:r>
              <w:rPr>
                <w:rFonts w:ascii="黑体" w:hAnsi="黑体" w:eastAsia="黑体"/>
                <w:kern w:val="0"/>
                <w:sz w:val="20"/>
                <w:szCs w:val="20"/>
              </w:rPr>
              <w:t>尚未</w:t>
            </w:r>
          </w:p>
          <w:p>
            <w:pPr>
              <w:keepNext w:val="0"/>
              <w:keepLines w:val="0"/>
              <w:pageBreakBefore w:val="0"/>
              <w:widowControl/>
              <w:kinsoku/>
              <w:wordWrap/>
              <w:overflowPunct/>
              <w:topLinePunct w:val="0"/>
              <w:autoSpaceDE/>
              <w:autoSpaceDN/>
              <w:bidi w:val="0"/>
              <w:adjustRightInd w:val="0"/>
              <w:snapToGrid w:val="0"/>
              <w:spacing w:after="0"/>
              <w:ind w:left="-118" w:leftChars="-56" w:right="-118" w:rightChars="-56"/>
              <w:jc w:val="center"/>
              <w:textAlignment w:val="auto"/>
              <w:rPr>
                <w:rFonts w:ascii="黑体" w:hAnsi="黑体" w:eastAsia="黑体"/>
              </w:rPr>
            </w:pPr>
            <w:r>
              <w:rPr>
                <w:rFonts w:ascii="黑体" w:hAnsi="黑体" w:eastAsia="黑体"/>
                <w:kern w:val="0"/>
                <w:sz w:val="20"/>
                <w:szCs w:val="20"/>
              </w:rPr>
              <w:t>审结</w:t>
            </w:r>
          </w:p>
        </w:tc>
        <w:tc>
          <w:tcPr>
            <w:tcW w:w="658"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320" w:lineRule="exact"/>
              <w:jc w:val="center"/>
              <w:textAlignment w:val="auto"/>
              <w:rPr>
                <w:rFonts w:ascii="黑体" w:hAnsi="黑体" w:eastAsia="黑体"/>
                <w:kern w:val="0"/>
                <w:sz w:val="20"/>
                <w:szCs w:val="20"/>
              </w:rPr>
            </w:pPr>
            <w:r>
              <w:rPr>
                <w:rFonts w:ascii="黑体" w:hAnsi="黑体" w:eastAsia="黑体"/>
                <w:kern w:val="0"/>
                <w:sz w:val="20"/>
                <w:szCs w:val="20"/>
              </w:rPr>
              <w:t>总</w:t>
            </w:r>
          </w:p>
          <w:p>
            <w:pPr>
              <w:keepNext w:val="0"/>
              <w:keepLines w:val="0"/>
              <w:pageBreakBefore w:val="0"/>
              <w:widowControl/>
              <w:kinsoku/>
              <w:wordWrap/>
              <w:overflowPunct/>
              <w:topLinePunct w:val="0"/>
              <w:autoSpaceDE/>
              <w:autoSpaceDN/>
              <w:bidi w:val="0"/>
              <w:adjustRightInd w:val="0"/>
              <w:snapToGrid w:val="0"/>
              <w:spacing w:after="0" w:line="320" w:lineRule="exact"/>
              <w:jc w:val="center"/>
              <w:textAlignment w:val="auto"/>
              <w:rPr>
                <w:rFonts w:ascii="黑体" w:hAnsi="黑体" w:eastAsia="黑体"/>
              </w:rPr>
            </w:pPr>
            <w:r>
              <w:rPr>
                <w:rFonts w:ascii="黑体" w:hAnsi="黑体" w:eastAsia="黑体"/>
                <w:kern w:val="0"/>
                <w:sz w:val="20"/>
                <w:szCs w:val="20"/>
              </w:rPr>
              <w:t>计</w:t>
            </w:r>
          </w:p>
        </w:tc>
        <w:tc>
          <w:tcPr>
            <w:tcW w:w="2970" w:type="dxa"/>
            <w:gridSpan w:val="5"/>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ascii="黑体" w:hAnsi="黑体" w:eastAsia="黑体"/>
              </w:rPr>
            </w:pPr>
            <w:r>
              <w:rPr>
                <w:rFonts w:ascii="黑体" w:hAnsi="黑体" w:eastAsia="黑体"/>
                <w:kern w:val="0"/>
                <w:sz w:val="20"/>
                <w:szCs w:val="20"/>
              </w:rPr>
              <w:t>未经复议直接起诉</w:t>
            </w:r>
          </w:p>
        </w:tc>
        <w:tc>
          <w:tcPr>
            <w:tcW w:w="3027" w:type="dxa"/>
            <w:gridSpan w:val="5"/>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ascii="黑体" w:hAnsi="黑体" w:eastAsia="黑体"/>
              </w:rPr>
            </w:pPr>
            <w:bookmarkStart w:id="9" w:name="_Hlk67039688"/>
            <w:r>
              <w:rPr>
                <w:rFonts w:ascii="黑体" w:hAnsi="黑体" w:eastAsia="黑体"/>
                <w:kern w:val="0"/>
                <w:sz w:val="20"/>
                <w:szCs w:val="20"/>
              </w:rPr>
              <w:t>复议后起诉</w:t>
            </w:r>
            <w:bookmarkEnd w:id="9"/>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06" w:hRule="atLeast"/>
          <w:jc w:val="center"/>
        </w:trPr>
        <w:tc>
          <w:tcPr>
            <w:tcW w:w="604"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textAlignment w:val="auto"/>
              <w:rPr>
                <w:rFonts w:ascii="黑体" w:hAnsi="黑体" w:eastAsia="黑体"/>
                <w:sz w:val="24"/>
              </w:rPr>
            </w:pPr>
          </w:p>
        </w:tc>
        <w:tc>
          <w:tcPr>
            <w:tcW w:w="604" w:type="dxa"/>
            <w:vMerge w:val="continue"/>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textAlignment w:val="auto"/>
              <w:rPr>
                <w:rFonts w:ascii="黑体" w:hAnsi="黑体" w:eastAsia="黑体"/>
                <w:sz w:val="24"/>
              </w:rPr>
            </w:pPr>
          </w:p>
        </w:tc>
        <w:tc>
          <w:tcPr>
            <w:tcW w:w="604"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textAlignment w:val="auto"/>
              <w:rPr>
                <w:rFonts w:ascii="黑体" w:hAnsi="黑体" w:eastAsia="黑体"/>
                <w:sz w:val="24"/>
              </w:rPr>
            </w:pPr>
          </w:p>
        </w:tc>
        <w:tc>
          <w:tcPr>
            <w:tcW w:w="604"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textAlignment w:val="auto"/>
              <w:rPr>
                <w:rFonts w:ascii="黑体" w:hAnsi="黑体" w:eastAsia="黑体"/>
                <w:sz w:val="24"/>
              </w:rPr>
            </w:pPr>
          </w:p>
        </w:tc>
        <w:tc>
          <w:tcPr>
            <w:tcW w:w="658"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textAlignment w:val="auto"/>
              <w:rPr>
                <w:rFonts w:ascii="黑体" w:hAnsi="黑体" w:eastAsia="黑体"/>
                <w:sz w:val="24"/>
              </w:rPr>
            </w:pPr>
          </w:p>
        </w:tc>
        <w:tc>
          <w:tcPr>
            <w:tcW w:w="55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ind w:left="-105" w:leftChars="-50" w:right="-126" w:rightChars="-60"/>
              <w:jc w:val="center"/>
              <w:textAlignment w:val="auto"/>
              <w:rPr>
                <w:rFonts w:ascii="黑体" w:hAnsi="黑体" w:eastAsia="黑体"/>
              </w:rPr>
            </w:pPr>
            <w:r>
              <w:rPr>
                <w:rFonts w:ascii="黑体" w:hAnsi="黑体" w:eastAsia="黑体"/>
                <w:kern w:val="0"/>
                <w:sz w:val="20"/>
                <w:szCs w:val="20"/>
              </w:rPr>
              <w:t>结果维持</w:t>
            </w:r>
          </w:p>
        </w:tc>
        <w:tc>
          <w:tcPr>
            <w:tcW w:w="605"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ind w:left="-86" w:leftChars="-41" w:right="-88" w:rightChars="-42"/>
              <w:jc w:val="center"/>
              <w:textAlignment w:val="auto"/>
              <w:rPr>
                <w:rFonts w:ascii="黑体" w:hAnsi="黑体" w:eastAsia="黑体"/>
              </w:rPr>
            </w:pPr>
            <w:r>
              <w:rPr>
                <w:rFonts w:ascii="黑体" w:hAnsi="黑体" w:eastAsia="黑体"/>
                <w:kern w:val="0"/>
                <w:sz w:val="20"/>
                <w:szCs w:val="20"/>
              </w:rPr>
              <w:t>结果纠正</w:t>
            </w:r>
          </w:p>
        </w:tc>
        <w:tc>
          <w:tcPr>
            <w:tcW w:w="605"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ind w:left="-126" w:leftChars="-60" w:right="-136" w:rightChars="-65"/>
              <w:jc w:val="center"/>
              <w:textAlignment w:val="auto"/>
              <w:rPr>
                <w:rFonts w:ascii="黑体" w:hAnsi="黑体" w:eastAsia="黑体"/>
                <w:kern w:val="0"/>
                <w:sz w:val="20"/>
                <w:szCs w:val="20"/>
              </w:rPr>
            </w:pPr>
            <w:r>
              <w:rPr>
                <w:rFonts w:ascii="黑体" w:hAnsi="黑体" w:eastAsia="黑体"/>
                <w:kern w:val="0"/>
                <w:sz w:val="20"/>
                <w:szCs w:val="20"/>
              </w:rPr>
              <w:t>其他</w:t>
            </w:r>
          </w:p>
          <w:p>
            <w:pPr>
              <w:keepNext w:val="0"/>
              <w:keepLines w:val="0"/>
              <w:pageBreakBefore w:val="0"/>
              <w:widowControl/>
              <w:kinsoku/>
              <w:wordWrap/>
              <w:overflowPunct/>
              <w:topLinePunct w:val="0"/>
              <w:autoSpaceDE/>
              <w:autoSpaceDN/>
              <w:bidi w:val="0"/>
              <w:adjustRightInd w:val="0"/>
              <w:snapToGrid w:val="0"/>
              <w:spacing w:after="0"/>
              <w:ind w:left="-126" w:leftChars="-60" w:right="-136" w:rightChars="-65"/>
              <w:jc w:val="center"/>
              <w:textAlignment w:val="auto"/>
              <w:rPr>
                <w:rFonts w:ascii="黑体" w:hAnsi="黑体" w:eastAsia="黑体"/>
              </w:rPr>
            </w:pPr>
            <w:r>
              <w:rPr>
                <w:rFonts w:ascii="黑体" w:hAnsi="黑体" w:eastAsia="黑体"/>
                <w:kern w:val="0"/>
                <w:sz w:val="20"/>
                <w:szCs w:val="20"/>
              </w:rPr>
              <w:t>结果</w:t>
            </w:r>
          </w:p>
        </w:tc>
        <w:tc>
          <w:tcPr>
            <w:tcW w:w="605"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ind w:left="-164" w:leftChars="-78" w:right="-153" w:rightChars="-73"/>
              <w:jc w:val="center"/>
              <w:textAlignment w:val="auto"/>
              <w:rPr>
                <w:rFonts w:ascii="黑体" w:hAnsi="黑体" w:eastAsia="黑体"/>
                <w:kern w:val="0"/>
                <w:sz w:val="20"/>
                <w:szCs w:val="20"/>
              </w:rPr>
            </w:pPr>
            <w:r>
              <w:rPr>
                <w:rFonts w:ascii="黑体" w:hAnsi="黑体" w:eastAsia="黑体"/>
                <w:kern w:val="0"/>
                <w:sz w:val="20"/>
                <w:szCs w:val="20"/>
              </w:rPr>
              <w:t>尚未</w:t>
            </w:r>
          </w:p>
          <w:p>
            <w:pPr>
              <w:keepNext w:val="0"/>
              <w:keepLines w:val="0"/>
              <w:pageBreakBefore w:val="0"/>
              <w:widowControl/>
              <w:kinsoku/>
              <w:wordWrap/>
              <w:overflowPunct/>
              <w:topLinePunct w:val="0"/>
              <w:autoSpaceDE/>
              <w:autoSpaceDN/>
              <w:bidi w:val="0"/>
              <w:adjustRightInd w:val="0"/>
              <w:snapToGrid w:val="0"/>
              <w:spacing w:after="0"/>
              <w:ind w:left="-164" w:leftChars="-78" w:right="-153" w:rightChars="-73"/>
              <w:jc w:val="center"/>
              <w:textAlignment w:val="auto"/>
              <w:rPr>
                <w:rFonts w:ascii="黑体" w:hAnsi="黑体" w:eastAsia="黑体"/>
              </w:rPr>
            </w:pPr>
            <w:r>
              <w:rPr>
                <w:rFonts w:ascii="黑体" w:hAnsi="黑体" w:eastAsia="黑体"/>
                <w:kern w:val="0"/>
                <w:sz w:val="20"/>
                <w:szCs w:val="20"/>
              </w:rPr>
              <w:t>审结</w:t>
            </w:r>
          </w:p>
        </w:tc>
        <w:tc>
          <w:tcPr>
            <w:tcW w:w="605"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ascii="黑体" w:hAnsi="黑体" w:eastAsia="黑体"/>
              </w:rPr>
            </w:pPr>
            <w:r>
              <w:rPr>
                <w:rFonts w:ascii="黑体" w:hAnsi="黑体" w:eastAsia="黑体"/>
                <w:kern w:val="0"/>
                <w:sz w:val="20"/>
                <w:szCs w:val="20"/>
              </w:rPr>
              <w:t>总计</w:t>
            </w:r>
          </w:p>
        </w:tc>
        <w:tc>
          <w:tcPr>
            <w:tcW w:w="605"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ind w:left="-99" w:leftChars="-47" w:right="-78" w:rightChars="-37"/>
              <w:jc w:val="center"/>
              <w:textAlignment w:val="auto"/>
              <w:rPr>
                <w:rFonts w:ascii="黑体" w:hAnsi="黑体" w:eastAsia="黑体"/>
              </w:rPr>
            </w:pPr>
            <w:r>
              <w:rPr>
                <w:rFonts w:ascii="黑体" w:hAnsi="黑体" w:eastAsia="黑体"/>
                <w:kern w:val="0"/>
                <w:sz w:val="20"/>
                <w:szCs w:val="20"/>
              </w:rPr>
              <w:t>结果维持</w:t>
            </w:r>
          </w:p>
        </w:tc>
        <w:tc>
          <w:tcPr>
            <w:tcW w:w="605"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ind w:left="-136" w:leftChars="-65" w:right="-124" w:rightChars="-59"/>
              <w:jc w:val="center"/>
              <w:textAlignment w:val="auto"/>
              <w:rPr>
                <w:rFonts w:ascii="黑体" w:hAnsi="黑体" w:eastAsia="黑体"/>
                <w:kern w:val="0"/>
                <w:sz w:val="20"/>
                <w:szCs w:val="20"/>
              </w:rPr>
            </w:pPr>
            <w:r>
              <w:rPr>
                <w:rFonts w:ascii="黑体" w:hAnsi="黑体" w:eastAsia="黑体"/>
                <w:kern w:val="0"/>
                <w:sz w:val="20"/>
                <w:szCs w:val="20"/>
              </w:rPr>
              <w:t>结果</w:t>
            </w:r>
          </w:p>
          <w:p>
            <w:pPr>
              <w:keepNext w:val="0"/>
              <w:keepLines w:val="0"/>
              <w:pageBreakBefore w:val="0"/>
              <w:widowControl/>
              <w:kinsoku/>
              <w:wordWrap/>
              <w:overflowPunct/>
              <w:topLinePunct w:val="0"/>
              <w:autoSpaceDE/>
              <w:autoSpaceDN/>
              <w:bidi w:val="0"/>
              <w:adjustRightInd w:val="0"/>
              <w:snapToGrid w:val="0"/>
              <w:spacing w:after="0"/>
              <w:ind w:left="-136" w:leftChars="-65" w:right="-124" w:rightChars="-59"/>
              <w:jc w:val="center"/>
              <w:textAlignment w:val="auto"/>
              <w:rPr>
                <w:rFonts w:ascii="黑体" w:hAnsi="黑体" w:eastAsia="黑体"/>
              </w:rPr>
            </w:pPr>
            <w:r>
              <w:rPr>
                <w:rFonts w:ascii="黑体" w:hAnsi="黑体" w:eastAsia="黑体"/>
                <w:kern w:val="0"/>
                <w:sz w:val="20"/>
                <w:szCs w:val="20"/>
              </w:rPr>
              <w:t>纠正</w:t>
            </w:r>
          </w:p>
        </w:tc>
        <w:tc>
          <w:tcPr>
            <w:tcW w:w="605"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ind w:left="-173" w:leftChars="-83" w:right="-134" w:rightChars="-64" w:hanging="1"/>
              <w:jc w:val="center"/>
              <w:textAlignment w:val="auto"/>
              <w:rPr>
                <w:rFonts w:ascii="黑体" w:hAnsi="黑体" w:eastAsia="黑体"/>
                <w:kern w:val="0"/>
                <w:sz w:val="20"/>
                <w:szCs w:val="20"/>
              </w:rPr>
            </w:pPr>
            <w:r>
              <w:rPr>
                <w:rFonts w:ascii="黑体" w:hAnsi="黑体" w:eastAsia="黑体"/>
                <w:kern w:val="0"/>
                <w:sz w:val="20"/>
                <w:szCs w:val="20"/>
              </w:rPr>
              <w:t>其他</w:t>
            </w:r>
          </w:p>
          <w:p>
            <w:pPr>
              <w:keepNext w:val="0"/>
              <w:keepLines w:val="0"/>
              <w:pageBreakBefore w:val="0"/>
              <w:widowControl/>
              <w:kinsoku/>
              <w:wordWrap/>
              <w:overflowPunct/>
              <w:topLinePunct w:val="0"/>
              <w:autoSpaceDE/>
              <w:autoSpaceDN/>
              <w:bidi w:val="0"/>
              <w:adjustRightInd w:val="0"/>
              <w:snapToGrid w:val="0"/>
              <w:spacing w:after="0"/>
              <w:ind w:left="-173" w:leftChars="-83" w:right="-134" w:rightChars="-64" w:hanging="1"/>
              <w:jc w:val="center"/>
              <w:textAlignment w:val="auto"/>
              <w:rPr>
                <w:rFonts w:ascii="黑体" w:hAnsi="黑体" w:eastAsia="黑体"/>
              </w:rPr>
            </w:pPr>
            <w:r>
              <w:rPr>
                <w:rFonts w:ascii="黑体" w:hAnsi="黑体" w:eastAsia="黑体"/>
                <w:kern w:val="0"/>
                <w:sz w:val="20"/>
                <w:szCs w:val="20"/>
              </w:rPr>
              <w:t>结果</w:t>
            </w:r>
          </w:p>
        </w:tc>
        <w:tc>
          <w:tcPr>
            <w:tcW w:w="606"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ind w:left="-67" w:leftChars="-33" w:right="-105" w:rightChars="-50" w:hanging="2" w:hangingChars="1"/>
              <w:jc w:val="center"/>
              <w:textAlignment w:val="auto"/>
              <w:rPr>
                <w:rFonts w:ascii="黑体" w:hAnsi="黑体" w:eastAsia="黑体"/>
              </w:rPr>
            </w:pPr>
            <w:r>
              <w:rPr>
                <w:rFonts w:ascii="黑体" w:hAnsi="黑体" w:eastAsia="黑体"/>
                <w:kern w:val="0"/>
                <w:sz w:val="20"/>
                <w:szCs w:val="20"/>
              </w:rPr>
              <w:t>尚未审结</w:t>
            </w:r>
          </w:p>
        </w:tc>
        <w:tc>
          <w:tcPr>
            <w:tcW w:w="606"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ascii="黑体" w:hAnsi="黑体" w:eastAsia="黑体"/>
              </w:rPr>
            </w:pPr>
            <w:r>
              <w:rPr>
                <w:rFonts w:ascii="黑体" w:hAnsi="黑体" w:eastAsia="黑体"/>
                <w:kern w:val="0"/>
                <w:sz w:val="20"/>
                <w:szCs w:val="20"/>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04"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lang w:val="en-US" w:eastAsia="zh-CN"/>
              </w:rPr>
            </w:pPr>
            <w:r>
              <w:rPr>
                <w:rFonts w:hint="eastAsia" w:ascii="Times New Roman" w:hAnsi="Times New Roman"/>
                <w:lang w:val="en-US" w:eastAsia="zh-CN"/>
              </w:rPr>
              <w:t>0</w:t>
            </w:r>
          </w:p>
        </w:tc>
        <w:tc>
          <w:tcPr>
            <w:tcW w:w="604"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lang w:val="en-US" w:eastAsia="zh-CN"/>
              </w:rPr>
            </w:pPr>
            <w:r>
              <w:rPr>
                <w:rFonts w:hint="eastAsia" w:ascii="Times New Roman" w:hAnsi="Times New Roman"/>
                <w:lang w:val="en-US" w:eastAsia="zh-CN"/>
              </w:rPr>
              <w:t>0</w:t>
            </w:r>
          </w:p>
        </w:tc>
        <w:tc>
          <w:tcPr>
            <w:tcW w:w="604"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lang w:val="en-US" w:eastAsia="zh-CN"/>
              </w:rPr>
            </w:pPr>
            <w:r>
              <w:rPr>
                <w:rFonts w:hint="eastAsia" w:ascii="Times New Roman" w:hAnsi="Times New Roman"/>
                <w:lang w:val="en-US" w:eastAsia="zh-CN"/>
              </w:rPr>
              <w:t>0</w:t>
            </w:r>
          </w:p>
        </w:tc>
        <w:tc>
          <w:tcPr>
            <w:tcW w:w="604"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lang w:val="en-US" w:eastAsia="zh-CN"/>
              </w:rPr>
            </w:pPr>
            <w:r>
              <w:rPr>
                <w:rFonts w:hint="eastAsia" w:ascii="Times New Roman" w:hAnsi="Times New Roman"/>
                <w:lang w:val="en-US" w:eastAsia="zh-CN"/>
              </w:rPr>
              <w:t>0</w:t>
            </w:r>
          </w:p>
        </w:tc>
        <w:tc>
          <w:tcPr>
            <w:tcW w:w="658"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lang w:val="en-US" w:eastAsia="zh-CN"/>
              </w:rPr>
            </w:pPr>
            <w:r>
              <w:rPr>
                <w:rFonts w:hint="eastAsia" w:ascii="Times New Roman" w:hAnsi="Times New Roman"/>
                <w:lang w:val="en-US" w:eastAsia="zh-CN"/>
              </w:rPr>
              <w:t>0</w:t>
            </w:r>
          </w:p>
        </w:tc>
        <w:tc>
          <w:tcPr>
            <w:tcW w:w="55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lang w:val="en-US" w:eastAsia="zh-CN"/>
              </w:rPr>
            </w:pPr>
            <w:r>
              <w:rPr>
                <w:rFonts w:hint="eastAsia" w:ascii="Times New Roman" w:hAnsi="Times New Roman"/>
                <w:lang w:val="en-US" w:eastAsia="zh-CN"/>
              </w:rPr>
              <w:t>0</w:t>
            </w:r>
          </w:p>
        </w:tc>
        <w:tc>
          <w:tcPr>
            <w:tcW w:w="605"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lang w:val="en-US" w:eastAsia="zh-CN"/>
              </w:rPr>
            </w:pPr>
            <w:r>
              <w:rPr>
                <w:rFonts w:hint="eastAsia" w:ascii="Times New Roman" w:hAnsi="Times New Roman"/>
                <w:lang w:val="en-US" w:eastAsia="zh-CN"/>
              </w:rPr>
              <w:t>0</w:t>
            </w:r>
          </w:p>
        </w:tc>
        <w:tc>
          <w:tcPr>
            <w:tcW w:w="605"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lang w:val="en-US" w:eastAsia="zh-CN"/>
              </w:rPr>
            </w:pPr>
            <w:r>
              <w:rPr>
                <w:rFonts w:hint="eastAsia" w:ascii="Times New Roman" w:hAnsi="Times New Roman"/>
                <w:lang w:val="en-US" w:eastAsia="zh-CN"/>
              </w:rPr>
              <w:t>0</w:t>
            </w:r>
          </w:p>
        </w:tc>
        <w:tc>
          <w:tcPr>
            <w:tcW w:w="605"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lang w:val="en-US" w:eastAsia="zh-CN"/>
              </w:rPr>
            </w:pPr>
            <w:r>
              <w:rPr>
                <w:rFonts w:hint="eastAsia" w:ascii="Times New Roman" w:hAnsi="Times New Roman"/>
                <w:lang w:val="en-US" w:eastAsia="zh-CN"/>
              </w:rPr>
              <w:t>0</w:t>
            </w:r>
          </w:p>
        </w:tc>
        <w:tc>
          <w:tcPr>
            <w:tcW w:w="605"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lang w:val="en-US" w:eastAsia="zh-CN"/>
              </w:rPr>
            </w:pPr>
            <w:r>
              <w:rPr>
                <w:rFonts w:hint="eastAsia" w:ascii="Times New Roman" w:hAnsi="Times New Roman"/>
                <w:lang w:val="en-US" w:eastAsia="zh-CN"/>
              </w:rPr>
              <w:t>0</w:t>
            </w:r>
          </w:p>
        </w:tc>
        <w:tc>
          <w:tcPr>
            <w:tcW w:w="605"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textAlignment w:val="auto"/>
              <w:rPr>
                <w:rFonts w:hint="eastAsia" w:ascii="Times New Roman" w:hAnsi="Times New Roman" w:eastAsia="宋体"/>
                <w:lang w:val="en-US" w:eastAsia="zh-CN"/>
              </w:rPr>
            </w:pPr>
            <w:r>
              <w:rPr>
                <w:rFonts w:hint="eastAsia" w:ascii="Times New Roman" w:hAnsi="Times New Roman"/>
                <w:lang w:val="en-US" w:eastAsia="zh-CN"/>
              </w:rPr>
              <w:t>0</w:t>
            </w:r>
          </w:p>
        </w:tc>
        <w:tc>
          <w:tcPr>
            <w:tcW w:w="605"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lang w:val="en-US" w:eastAsia="zh-CN"/>
              </w:rPr>
            </w:pPr>
            <w:r>
              <w:rPr>
                <w:rFonts w:hint="eastAsia" w:ascii="Times New Roman" w:hAnsi="Times New Roman"/>
                <w:lang w:val="en-US" w:eastAsia="zh-CN"/>
              </w:rPr>
              <w:t>0</w:t>
            </w:r>
          </w:p>
        </w:tc>
        <w:tc>
          <w:tcPr>
            <w:tcW w:w="605"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lang w:val="en-US" w:eastAsia="zh-CN"/>
              </w:rPr>
            </w:pPr>
            <w:r>
              <w:rPr>
                <w:rFonts w:hint="eastAsia" w:ascii="Times New Roman" w:hAnsi="Times New Roman"/>
                <w:lang w:val="en-US" w:eastAsia="zh-CN"/>
              </w:rPr>
              <w:t>0</w:t>
            </w:r>
          </w:p>
        </w:tc>
        <w:tc>
          <w:tcPr>
            <w:tcW w:w="606"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lang w:val="en-US" w:eastAsia="zh-CN"/>
              </w:rPr>
            </w:pPr>
            <w:r>
              <w:rPr>
                <w:rFonts w:hint="eastAsia" w:ascii="Times New Roman" w:hAnsi="Times New Roman"/>
                <w:lang w:val="en-US" w:eastAsia="zh-CN"/>
              </w:rPr>
              <w:t>0</w:t>
            </w:r>
          </w:p>
        </w:tc>
        <w:tc>
          <w:tcPr>
            <w:tcW w:w="606"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lang w:val="en-US" w:eastAsia="zh-CN"/>
              </w:rPr>
            </w:pPr>
            <w:r>
              <w:rPr>
                <w:rFonts w:hint="eastAsia" w:ascii="Times New Roman" w:hAnsi="Times New Roman"/>
                <w:lang w:val="en-US" w:eastAsia="zh-CN"/>
              </w:rPr>
              <w:t>0</w:t>
            </w:r>
          </w:p>
        </w:tc>
      </w:tr>
    </w:tbl>
    <w:p>
      <w:pPr>
        <w:keepNext w:val="0"/>
        <w:keepLines w:val="0"/>
        <w:pageBreakBefore w:val="0"/>
        <w:kinsoku/>
        <w:wordWrap/>
        <w:overflowPunct/>
        <w:topLinePunct w:val="0"/>
        <w:autoSpaceDE/>
        <w:autoSpaceDN/>
        <w:bidi w:val="0"/>
        <w:adjustRightInd/>
        <w:snapToGrid/>
        <w:spacing w:line="560" w:lineRule="exact"/>
        <w:textAlignment w:val="auto"/>
        <w:rPr>
          <w:rFonts w:hint="eastAsia" w:ascii="黑体" w:hAnsi="黑体" w:eastAsia="黑体" w:cs="黑体"/>
          <w:sz w:val="32"/>
          <w:szCs w:val="32"/>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五、存在的主要问题及改进情况 </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2021年，我办政府信息公开工作稳步推进，取得了一定的成绩，但仍存在着一些问题和不足：</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一是政策解读不够细致，政策解读的多元化不足；二是公开信息的及时性还需要进一步提高；三是工作人员的业务素质需进一步提高。</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结合工作中的不足，2022年初步计划做好以下工作：</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一是丰富政策解读形式，拓宽公开</w:t>
      </w:r>
      <w:r>
        <w:rPr>
          <w:rFonts w:hint="eastAsia" w:ascii="仿宋_GB2312" w:hAnsi="仿宋_GB2312" w:eastAsia="仿宋_GB2312" w:cs="仿宋_GB2312"/>
          <w:sz w:val="32"/>
          <w:szCs w:val="32"/>
          <w:lang w:eastAsia="zh-CN"/>
        </w:rPr>
        <w:t>途径</w:t>
      </w:r>
      <w:r>
        <w:rPr>
          <w:rFonts w:hint="eastAsia" w:ascii="仿宋_GB2312" w:hAnsi="仿宋_GB2312" w:eastAsia="仿宋_GB2312" w:cs="仿宋_GB2312"/>
          <w:sz w:val="32"/>
          <w:szCs w:val="32"/>
        </w:rPr>
        <w:t>，让群众读懂、看懂；二是提高公开频次，提升公开质量，满足在群众的需求；三是进一步加大培训和学习力度，不断提高政务信息工作人员的综合素质，增强处理信息的能力，提高信息质量。</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六、其他需要报告事项</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无</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华文琥珀">
    <w:panose1 w:val="02010800040101010101"/>
    <w:charset w:val="86"/>
    <w:family w:val="auto"/>
    <w:pitch w:val="default"/>
    <w:sig w:usb0="00000001" w:usb1="080F0000" w:usb2="00000000" w:usb3="00000000" w:csb0="00040000" w:csb1="00000000"/>
  </w:font>
  <w:font w:name="隶书">
    <w:panose1 w:val="02010509060101010101"/>
    <w:charset w:val="86"/>
    <w:family w:val="auto"/>
    <w:pitch w:val="default"/>
    <w:sig w:usb0="00000001" w:usb1="080E0000" w:usb2="00000000" w:usb3="00000000" w:csb0="00040000" w:csb1="00000000"/>
  </w:font>
  <w:font w:name="华文隶书">
    <w:panose1 w:val="02010800040101010101"/>
    <w:charset w:val="86"/>
    <w:family w:val="auto"/>
    <w:pitch w:val="default"/>
    <w:sig w:usb0="00000001" w:usb1="080F0000" w:usb2="00000000" w:usb3="00000000" w:csb0="00040000" w:csb1="00000000"/>
  </w:font>
  <w:font w:name="华文细黑">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A1CC68C"/>
    <w:multiLevelType w:val="singleLevel"/>
    <w:tmpl w:val="7A1CC68C"/>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016171"/>
    <w:rsid w:val="05DE1040"/>
    <w:rsid w:val="0A8A5CEF"/>
    <w:rsid w:val="0AF2391B"/>
    <w:rsid w:val="0F2B06B4"/>
    <w:rsid w:val="11514527"/>
    <w:rsid w:val="15834D9D"/>
    <w:rsid w:val="18C23228"/>
    <w:rsid w:val="1BDF3DC2"/>
    <w:rsid w:val="1CE906FC"/>
    <w:rsid w:val="2011123A"/>
    <w:rsid w:val="294A3738"/>
    <w:rsid w:val="2A53030D"/>
    <w:rsid w:val="2BB37649"/>
    <w:rsid w:val="2E7D3F3E"/>
    <w:rsid w:val="36FE1D5E"/>
    <w:rsid w:val="38A12D3D"/>
    <w:rsid w:val="39016171"/>
    <w:rsid w:val="39C25FC3"/>
    <w:rsid w:val="3BAB0EC3"/>
    <w:rsid w:val="3C530031"/>
    <w:rsid w:val="40797B11"/>
    <w:rsid w:val="49972788"/>
    <w:rsid w:val="508A10CB"/>
    <w:rsid w:val="5E023994"/>
    <w:rsid w:val="5EE73454"/>
    <w:rsid w:val="5F0E6174"/>
    <w:rsid w:val="62416D01"/>
    <w:rsid w:val="668C4131"/>
    <w:rsid w:val="73131658"/>
    <w:rsid w:val="7A5A10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qFormat="1"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index 9"/>
    <w:basedOn w:val="1"/>
    <w:next w:val="1"/>
    <w:unhideWhenUsed/>
    <w:qFormat/>
    <w:uiPriority w:val="0"/>
    <w:pPr>
      <w:spacing w:beforeLines="0" w:afterLines="0"/>
      <w:ind w:left="3360"/>
      <w:jc w:val="left"/>
    </w:pPr>
    <w:rPr>
      <w:rFonts w:hint="default" w:ascii="Times New Roman" w:hAnsi="Times New Roman"/>
      <w:sz w:val="21"/>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3.jpeg"/><Relationship Id="rId5" Type="http://schemas.openxmlformats.org/officeDocument/2006/relationships/image" Target="media/image2.pn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2022-01-22T02:46:00Z</dcterms:created>
  <dc:creator>Administrator</dc:creator>
  <cp:lastModifiedBy>DELL</cp:lastModifiedBy>
  <dcterms:modified xsi:type="dcterms:W3CDTF">2022-03-09T03:14:43Z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EA24577F27A24B399930222ABFC21A0A</vt:lpwstr>
  </property>
</Properties>
</file>