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rPr>
        <w:t>张店区</w:t>
      </w:r>
      <w:r>
        <w:rPr>
          <w:rFonts w:hint="eastAsia" w:ascii="方正小标宋简体" w:hAnsi="方正小标宋简体" w:eastAsia="方正小标宋简体" w:cs="方正小标宋简体"/>
          <w:sz w:val="44"/>
          <w:szCs w:val="44"/>
          <w:lang w:val="en-US" w:eastAsia="zh-CN"/>
        </w:rPr>
        <w:t>地方金融监督管理局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年政府信息公开工作年度报告</w:t>
      </w: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本报告依据《中华人民共和国政府信息公开条例》第五十条规定，制作本报告。本报告所列数据的统计时限自</w:t>
      </w:r>
      <w:r>
        <w:rPr>
          <w:rFonts w:hint="eastAsia" w:ascii="仿宋_GB2312" w:hAnsi="仿宋_GB2312" w:eastAsia="仿宋_GB2312" w:cs="仿宋_GB2312"/>
          <w:b w:val="0"/>
          <w:bCs w:val="0"/>
          <w:color w:val="auto"/>
          <w:sz w:val="32"/>
          <w:szCs w:val="32"/>
          <w:shd w:val="clear" w:fill="FFFFFF"/>
          <w:lang w:val="en-US"/>
        </w:rPr>
        <w:t>2021</w:t>
      </w:r>
      <w:r>
        <w:rPr>
          <w:rFonts w:hint="eastAsia" w:ascii="仿宋_GB2312" w:hAnsi="仿宋_GB2312" w:eastAsia="仿宋_GB2312" w:cs="仿宋_GB2312"/>
          <w:b w:val="0"/>
          <w:bCs w:val="0"/>
          <w:color w:val="auto"/>
          <w:sz w:val="32"/>
          <w:szCs w:val="32"/>
          <w:shd w:val="clear" w:fill="FFFFFF"/>
        </w:rPr>
        <w:t>年</w:t>
      </w:r>
      <w:r>
        <w:rPr>
          <w:rFonts w:hint="eastAsia" w:ascii="仿宋_GB2312" w:hAnsi="仿宋_GB2312" w:eastAsia="仿宋_GB2312" w:cs="仿宋_GB2312"/>
          <w:b w:val="0"/>
          <w:bCs w:val="0"/>
          <w:color w:val="auto"/>
          <w:sz w:val="32"/>
          <w:szCs w:val="32"/>
          <w:shd w:val="clear" w:fill="FFFFFF"/>
          <w:lang w:val="en-US"/>
        </w:rPr>
        <w:t>1</w:t>
      </w:r>
      <w:r>
        <w:rPr>
          <w:rFonts w:hint="eastAsia" w:ascii="仿宋_GB2312" w:hAnsi="仿宋_GB2312" w:eastAsia="仿宋_GB2312" w:cs="仿宋_GB2312"/>
          <w:b w:val="0"/>
          <w:bCs w:val="0"/>
          <w:color w:val="auto"/>
          <w:sz w:val="32"/>
          <w:szCs w:val="32"/>
          <w:shd w:val="clear" w:fill="FFFFFF"/>
        </w:rPr>
        <w:t>月</w:t>
      </w:r>
      <w:r>
        <w:rPr>
          <w:rFonts w:hint="eastAsia" w:ascii="仿宋_GB2312" w:hAnsi="仿宋_GB2312" w:eastAsia="仿宋_GB2312" w:cs="仿宋_GB2312"/>
          <w:b w:val="0"/>
          <w:bCs w:val="0"/>
          <w:color w:val="auto"/>
          <w:sz w:val="32"/>
          <w:szCs w:val="32"/>
          <w:shd w:val="clear" w:fill="FFFFFF"/>
          <w:lang w:val="en-US"/>
        </w:rPr>
        <w:t>1</w:t>
      </w:r>
      <w:r>
        <w:rPr>
          <w:rFonts w:hint="eastAsia" w:ascii="仿宋_GB2312" w:hAnsi="仿宋_GB2312" w:eastAsia="仿宋_GB2312" w:cs="仿宋_GB2312"/>
          <w:b w:val="0"/>
          <w:bCs w:val="0"/>
          <w:color w:val="auto"/>
          <w:sz w:val="32"/>
          <w:szCs w:val="32"/>
          <w:shd w:val="clear" w:fill="FFFFFF"/>
        </w:rPr>
        <w:t>日至</w:t>
      </w:r>
      <w:r>
        <w:rPr>
          <w:rFonts w:hint="eastAsia" w:ascii="仿宋_GB2312" w:hAnsi="仿宋_GB2312" w:eastAsia="仿宋_GB2312" w:cs="仿宋_GB2312"/>
          <w:b w:val="0"/>
          <w:bCs w:val="0"/>
          <w:color w:val="auto"/>
          <w:sz w:val="32"/>
          <w:szCs w:val="32"/>
          <w:shd w:val="clear" w:fill="FFFFFF"/>
          <w:lang w:val="en-US"/>
        </w:rPr>
        <w:t>2021</w:t>
      </w:r>
      <w:r>
        <w:rPr>
          <w:rFonts w:hint="eastAsia" w:ascii="仿宋_GB2312" w:hAnsi="仿宋_GB2312" w:eastAsia="仿宋_GB2312" w:cs="仿宋_GB2312"/>
          <w:b w:val="0"/>
          <w:bCs w:val="0"/>
          <w:color w:val="auto"/>
          <w:sz w:val="32"/>
          <w:szCs w:val="32"/>
          <w:shd w:val="clear" w:fill="FFFFFF"/>
        </w:rPr>
        <w:t>年</w:t>
      </w:r>
      <w:r>
        <w:rPr>
          <w:rFonts w:hint="eastAsia" w:ascii="仿宋_GB2312" w:hAnsi="仿宋_GB2312" w:eastAsia="仿宋_GB2312" w:cs="仿宋_GB2312"/>
          <w:b w:val="0"/>
          <w:bCs w:val="0"/>
          <w:color w:val="auto"/>
          <w:sz w:val="32"/>
          <w:szCs w:val="32"/>
          <w:shd w:val="clear" w:fill="FFFFFF"/>
          <w:lang w:val="en-US"/>
        </w:rPr>
        <w:t>12</w:t>
      </w:r>
      <w:r>
        <w:rPr>
          <w:rFonts w:hint="eastAsia" w:ascii="仿宋_GB2312" w:hAnsi="仿宋_GB2312" w:eastAsia="仿宋_GB2312" w:cs="仿宋_GB2312"/>
          <w:b w:val="0"/>
          <w:bCs w:val="0"/>
          <w:color w:val="auto"/>
          <w:sz w:val="32"/>
          <w:szCs w:val="32"/>
          <w:shd w:val="clear" w:fill="FFFFFF"/>
        </w:rPr>
        <w:t>月</w:t>
      </w:r>
      <w:r>
        <w:rPr>
          <w:rFonts w:hint="eastAsia" w:ascii="仿宋_GB2312" w:hAnsi="仿宋_GB2312" w:eastAsia="仿宋_GB2312" w:cs="仿宋_GB2312"/>
          <w:b w:val="0"/>
          <w:bCs w:val="0"/>
          <w:color w:val="auto"/>
          <w:sz w:val="32"/>
          <w:szCs w:val="32"/>
          <w:shd w:val="clear" w:fill="FFFFFF"/>
          <w:lang w:val="en-US"/>
        </w:rPr>
        <w:t>31</w:t>
      </w:r>
      <w:r>
        <w:rPr>
          <w:rFonts w:hint="eastAsia" w:ascii="仿宋_GB2312" w:hAnsi="仿宋_GB2312" w:eastAsia="仿宋_GB2312" w:cs="仿宋_GB2312"/>
          <w:b w:val="0"/>
          <w:bCs w:val="0"/>
          <w:color w:val="auto"/>
          <w:sz w:val="32"/>
          <w:szCs w:val="32"/>
          <w:shd w:val="clear" w:fill="FFFFFF"/>
        </w:rPr>
        <w:t>日。对报告内容有疑问，请与张店区地方金融监督管理局联系（地址：张店区新村西路</w:t>
      </w:r>
      <w:r>
        <w:rPr>
          <w:rFonts w:hint="eastAsia" w:ascii="仿宋_GB2312" w:hAnsi="仿宋_GB2312" w:eastAsia="仿宋_GB2312" w:cs="仿宋_GB2312"/>
          <w:b w:val="0"/>
          <w:bCs w:val="0"/>
          <w:color w:val="auto"/>
          <w:sz w:val="32"/>
          <w:szCs w:val="32"/>
          <w:shd w:val="clear" w:fill="FFFFFF"/>
          <w:lang w:val="en-US"/>
        </w:rPr>
        <w:t>226</w:t>
      </w:r>
      <w:r>
        <w:rPr>
          <w:rFonts w:hint="eastAsia" w:ascii="仿宋_GB2312" w:hAnsi="仿宋_GB2312" w:eastAsia="仿宋_GB2312" w:cs="仿宋_GB2312"/>
          <w:b w:val="0"/>
          <w:bCs w:val="0"/>
          <w:color w:val="auto"/>
          <w:sz w:val="32"/>
          <w:szCs w:val="32"/>
          <w:shd w:val="clear" w:fill="FFFFFF"/>
        </w:rPr>
        <w:t>号区政务中心</w:t>
      </w:r>
      <w:r>
        <w:rPr>
          <w:rFonts w:hint="eastAsia" w:ascii="仿宋_GB2312" w:hAnsi="仿宋_GB2312" w:eastAsia="仿宋_GB2312" w:cs="仿宋_GB2312"/>
          <w:b w:val="0"/>
          <w:bCs w:val="0"/>
          <w:color w:val="auto"/>
          <w:sz w:val="32"/>
          <w:szCs w:val="32"/>
          <w:shd w:val="clear" w:fill="FFFFFF"/>
          <w:lang w:val="en-US"/>
        </w:rPr>
        <w:t>;</w:t>
      </w:r>
      <w:r>
        <w:rPr>
          <w:rFonts w:hint="eastAsia" w:ascii="仿宋_GB2312" w:hAnsi="仿宋_GB2312" w:eastAsia="仿宋_GB2312" w:cs="仿宋_GB2312"/>
          <w:b w:val="0"/>
          <w:bCs w:val="0"/>
          <w:color w:val="auto"/>
          <w:sz w:val="32"/>
          <w:szCs w:val="32"/>
          <w:shd w:val="clear" w:fill="FFFFFF"/>
        </w:rPr>
        <w:t>邮编</w:t>
      </w:r>
      <w:r>
        <w:rPr>
          <w:rFonts w:hint="eastAsia" w:ascii="仿宋_GB2312" w:hAnsi="仿宋_GB2312" w:eastAsia="仿宋_GB2312" w:cs="仿宋_GB2312"/>
          <w:b w:val="0"/>
          <w:bCs w:val="0"/>
          <w:color w:val="auto"/>
          <w:sz w:val="32"/>
          <w:szCs w:val="32"/>
          <w:shd w:val="clear" w:fill="FFFFFF"/>
          <w:lang w:val="en-US"/>
        </w:rPr>
        <w:t>:255020;</w:t>
      </w:r>
      <w:r>
        <w:rPr>
          <w:rFonts w:hint="eastAsia" w:ascii="仿宋_GB2312" w:hAnsi="仿宋_GB2312" w:eastAsia="仿宋_GB2312" w:cs="仿宋_GB2312"/>
          <w:b w:val="0"/>
          <w:bCs w:val="0"/>
          <w:color w:val="auto"/>
          <w:sz w:val="32"/>
          <w:szCs w:val="32"/>
          <w:shd w:val="clear" w:fill="FFFFFF"/>
        </w:rPr>
        <w:t>电话</w:t>
      </w:r>
      <w:r>
        <w:rPr>
          <w:rFonts w:hint="eastAsia" w:ascii="仿宋_GB2312" w:hAnsi="仿宋_GB2312" w:eastAsia="仿宋_GB2312" w:cs="仿宋_GB2312"/>
          <w:b w:val="0"/>
          <w:bCs w:val="0"/>
          <w:color w:val="auto"/>
          <w:sz w:val="32"/>
          <w:szCs w:val="32"/>
          <w:shd w:val="clear" w:fill="FFFFFF"/>
          <w:lang w:val="en-US"/>
        </w:rPr>
        <w:t>:0533-2861018</w:t>
      </w:r>
      <w:r>
        <w:rPr>
          <w:rFonts w:hint="eastAsia" w:ascii="仿宋_GB2312" w:hAnsi="仿宋_GB2312" w:eastAsia="仿宋_GB2312" w:cs="仿宋_GB2312"/>
          <w:b w:val="0"/>
          <w:bCs w:val="0"/>
          <w:color w:val="auto"/>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黑体" w:hAnsi="黑体" w:eastAsia="黑体" w:cs="黑体"/>
          <w:b w:val="0"/>
          <w:bCs w:val="0"/>
          <w:i w:val="0"/>
          <w:caps w:val="0"/>
          <w:color w:val="auto"/>
          <w:spacing w:val="0"/>
          <w:sz w:val="32"/>
          <w:szCs w:val="32"/>
        </w:rPr>
      </w:pPr>
      <w:r>
        <w:rPr>
          <w:rFonts w:hint="eastAsia" w:ascii="黑体" w:hAnsi="黑体" w:eastAsia="黑体" w:cs="黑体"/>
          <w:b w:val="0"/>
          <w:bCs w:val="0"/>
          <w:i w:val="0"/>
          <w:caps w:val="0"/>
          <w:color w:val="auto"/>
          <w:spacing w:val="0"/>
          <w:sz w:val="32"/>
          <w:szCs w:val="32"/>
          <w:shd w:val="clear" w:color="auto" w:fill="FFFFFF"/>
        </w:rPr>
        <w:t>一、总体情况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仿宋_GB2312" w:hAnsi="仿宋_GB2312" w:eastAsia="仿宋_GB2312" w:cs="仿宋_GB2312"/>
          <w:b w:val="0"/>
          <w:bCs w:val="0"/>
          <w:i w:val="0"/>
          <w:caps w:val="0"/>
          <w:color w:val="auto"/>
          <w:spacing w:val="0"/>
          <w:sz w:val="32"/>
          <w:szCs w:val="32"/>
        </w:rPr>
      </w:pPr>
      <w:r>
        <w:rPr>
          <w:rFonts w:hint="eastAsia" w:ascii="仿宋_GB2312" w:hAnsi="仿宋_GB2312" w:eastAsia="仿宋_GB2312" w:cs="仿宋_GB2312"/>
          <w:b w:val="0"/>
          <w:bCs w:val="0"/>
          <w:i w:val="0"/>
          <w:caps w:val="0"/>
          <w:color w:val="auto"/>
          <w:spacing w:val="0"/>
          <w:sz w:val="32"/>
          <w:szCs w:val="32"/>
          <w:shd w:val="clear" w:color="auto" w:fill="FFFFFF"/>
        </w:rPr>
        <w:t>202</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1</w:t>
      </w:r>
      <w:r>
        <w:rPr>
          <w:rFonts w:hint="eastAsia" w:ascii="仿宋_GB2312" w:hAnsi="仿宋_GB2312" w:eastAsia="仿宋_GB2312" w:cs="仿宋_GB2312"/>
          <w:b w:val="0"/>
          <w:bCs w:val="0"/>
          <w:i w:val="0"/>
          <w:caps w:val="0"/>
          <w:color w:val="auto"/>
          <w:spacing w:val="0"/>
          <w:sz w:val="32"/>
          <w:szCs w:val="32"/>
          <w:shd w:val="clear" w:color="auto" w:fill="FFFFFF"/>
        </w:rPr>
        <w:t>年，</w:t>
      </w:r>
      <w:r>
        <w:rPr>
          <w:rFonts w:hint="eastAsia" w:ascii="仿宋_GB2312" w:hAnsi="仿宋_GB2312" w:eastAsia="仿宋_GB2312" w:cs="仿宋_GB2312"/>
          <w:b w:val="0"/>
          <w:bCs w:val="0"/>
          <w:color w:val="auto"/>
          <w:sz w:val="32"/>
          <w:szCs w:val="32"/>
          <w:shd w:val="clear" w:fill="FFFFFF"/>
        </w:rPr>
        <w:t>张店区地方金融监督管理局</w:t>
      </w:r>
      <w:r>
        <w:rPr>
          <w:rFonts w:hint="eastAsia" w:ascii="仿宋_GB2312" w:hAnsi="仿宋_GB2312" w:eastAsia="仿宋_GB2312" w:cs="仿宋_GB2312"/>
          <w:b w:val="0"/>
          <w:bCs w:val="0"/>
          <w:i w:val="0"/>
          <w:caps w:val="0"/>
          <w:color w:val="auto"/>
          <w:spacing w:val="0"/>
          <w:sz w:val="32"/>
          <w:szCs w:val="32"/>
          <w:shd w:val="clear" w:color="auto" w:fill="FFFFFF"/>
        </w:rPr>
        <w:t>按照区委、区政府的工作部署，以习近平新时代中国特色社会主义思想为指导，认真贯彻落实中央、省、市</w:t>
      </w:r>
      <w:r>
        <w:rPr>
          <w:rFonts w:hint="eastAsia" w:ascii="仿宋_GB2312" w:hAnsi="仿宋_GB2312" w:eastAsia="仿宋_GB2312" w:cs="仿宋_GB2312"/>
          <w:b w:val="0"/>
          <w:bCs w:val="0"/>
          <w:i w:val="0"/>
          <w:caps w:val="0"/>
          <w:color w:val="auto"/>
          <w:spacing w:val="0"/>
          <w:sz w:val="32"/>
          <w:szCs w:val="32"/>
          <w:shd w:val="clear" w:color="auto" w:fill="FFFFFF"/>
          <w:lang w:eastAsia="zh-CN"/>
        </w:rPr>
        <w:t>、</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区</w:t>
      </w:r>
      <w:r>
        <w:rPr>
          <w:rFonts w:hint="eastAsia" w:ascii="仿宋_GB2312" w:hAnsi="仿宋_GB2312" w:eastAsia="仿宋_GB2312" w:cs="仿宋_GB2312"/>
          <w:b w:val="0"/>
          <w:bCs w:val="0"/>
          <w:i w:val="0"/>
          <w:caps w:val="0"/>
          <w:color w:val="auto"/>
          <w:spacing w:val="0"/>
          <w:sz w:val="32"/>
          <w:szCs w:val="32"/>
          <w:shd w:val="clear" w:color="auto" w:fill="FFFFFF"/>
        </w:rPr>
        <w:t>全面推进政务公开的决策部署和工作要求，认真贯彻落实上级信息公开相关文件精神，紧密结合</w:t>
      </w:r>
      <w:r>
        <w:rPr>
          <w:rFonts w:hint="eastAsia" w:ascii="仿宋_GB2312" w:hAnsi="仿宋_GB2312" w:eastAsia="仿宋_GB2312" w:cs="仿宋_GB2312"/>
          <w:b w:val="0"/>
          <w:bCs w:val="0"/>
          <w:i w:val="0"/>
          <w:caps w:val="0"/>
          <w:color w:val="auto"/>
          <w:spacing w:val="0"/>
          <w:sz w:val="32"/>
          <w:szCs w:val="32"/>
          <w:shd w:val="clear" w:color="auto" w:fill="FFFFFF"/>
          <w:lang w:eastAsia="zh-CN"/>
        </w:rPr>
        <w:t>统计</w:t>
      </w:r>
      <w:r>
        <w:rPr>
          <w:rFonts w:hint="eastAsia" w:ascii="仿宋_GB2312" w:hAnsi="仿宋_GB2312" w:eastAsia="仿宋_GB2312" w:cs="仿宋_GB2312"/>
          <w:b w:val="0"/>
          <w:bCs w:val="0"/>
          <w:i w:val="0"/>
          <w:caps w:val="0"/>
          <w:color w:val="auto"/>
          <w:spacing w:val="0"/>
          <w:sz w:val="32"/>
          <w:szCs w:val="32"/>
          <w:shd w:val="clear" w:color="auto" w:fill="FFFFFF"/>
        </w:rPr>
        <w:t>工作实际，不断加强组织领导，规范公开制度程序，拓展公开广度深度，进一步完善政府信息公开体制机制建设，规范公开内容，丰富公开形式，不断推进政府信息公开工作深入开展。</w:t>
      </w:r>
    </w:p>
    <w:p>
      <w:pPr>
        <w:pStyle w:val="2"/>
        <w:keepNext w:val="0"/>
        <w:keepLines w:val="0"/>
        <w:pageBreakBefore w:val="0"/>
        <w:widowControl/>
        <w:numPr>
          <w:ilvl w:val="0"/>
          <w:numId w:val="1"/>
        </w:numPr>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楷体" w:hAnsi="楷体" w:eastAsia="楷体" w:cs="楷体"/>
          <w:b w:val="0"/>
          <w:bCs w:val="0"/>
          <w:color w:val="auto"/>
          <w:sz w:val="32"/>
          <w:szCs w:val="32"/>
          <w:shd w:val="clear" w:fill="FFFFFF"/>
        </w:rPr>
      </w:pPr>
      <w:r>
        <w:rPr>
          <w:rFonts w:hint="eastAsia" w:ascii="楷体" w:hAnsi="楷体" w:eastAsia="楷体" w:cs="楷体"/>
          <w:b w:val="0"/>
          <w:bCs w:val="0"/>
          <w:color w:val="auto"/>
          <w:sz w:val="32"/>
          <w:szCs w:val="32"/>
          <w:shd w:val="clear" w:fill="FFFFFF"/>
        </w:rPr>
        <w:t>主动公开情况</w:t>
      </w:r>
    </w:p>
    <w:p>
      <w:pPr>
        <w:pStyle w:val="2"/>
        <w:keepNext w:val="0"/>
        <w:keepLines w:val="0"/>
        <w:pageBreakBefore w:val="0"/>
        <w:widowControl/>
        <w:numPr>
          <w:ilvl w:val="0"/>
          <w:numId w:val="0"/>
        </w:numPr>
        <w:suppressLineNumbers w:val="0"/>
        <w:shd w:val="clear" w:fill="FFFFFF"/>
        <w:kinsoku/>
        <w:wordWrap/>
        <w:overflowPunct/>
        <w:topLinePunct w:val="0"/>
        <w:autoSpaceDE w:val="0"/>
        <w:autoSpaceDN/>
        <w:bidi w:val="0"/>
        <w:adjustRightInd/>
        <w:snapToGrid/>
        <w:spacing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lang w:val="en-US"/>
        </w:rPr>
        <w:t>2021</w:t>
      </w:r>
      <w:r>
        <w:rPr>
          <w:rFonts w:hint="eastAsia" w:ascii="仿宋_GB2312" w:hAnsi="仿宋_GB2312" w:eastAsia="仿宋_GB2312" w:cs="仿宋_GB2312"/>
          <w:b w:val="0"/>
          <w:bCs w:val="0"/>
          <w:color w:val="auto"/>
          <w:sz w:val="32"/>
          <w:szCs w:val="32"/>
          <w:shd w:val="clear" w:fill="FFFFFF"/>
        </w:rPr>
        <w:t>年，我局主动公开政府信息</w:t>
      </w:r>
      <w:r>
        <w:rPr>
          <w:rFonts w:hint="eastAsia" w:ascii="仿宋_GB2312" w:hAnsi="仿宋_GB2312" w:eastAsia="仿宋_GB2312" w:cs="仿宋_GB2312"/>
          <w:b w:val="0"/>
          <w:bCs w:val="0"/>
          <w:color w:val="auto"/>
          <w:sz w:val="32"/>
          <w:szCs w:val="32"/>
          <w:shd w:val="clear" w:fill="FFFFFF"/>
          <w:lang w:val="en-US"/>
        </w:rPr>
        <w:t>74</w:t>
      </w:r>
      <w:r>
        <w:rPr>
          <w:rFonts w:hint="eastAsia" w:ascii="仿宋_GB2312" w:hAnsi="仿宋_GB2312" w:eastAsia="仿宋_GB2312" w:cs="仿宋_GB2312"/>
          <w:b w:val="0"/>
          <w:bCs w:val="0"/>
          <w:color w:val="auto"/>
          <w:sz w:val="32"/>
          <w:szCs w:val="32"/>
          <w:shd w:val="clear" w:fill="FFFFFF"/>
        </w:rPr>
        <w:t>条，在主动公开的信息中，政策法规类</w:t>
      </w:r>
      <w:r>
        <w:rPr>
          <w:rFonts w:hint="eastAsia" w:ascii="仿宋_GB2312" w:hAnsi="仿宋_GB2312" w:eastAsia="仿宋_GB2312" w:cs="仿宋_GB2312"/>
          <w:b w:val="0"/>
          <w:bCs w:val="0"/>
          <w:color w:val="auto"/>
          <w:sz w:val="32"/>
          <w:szCs w:val="32"/>
          <w:shd w:val="clear" w:fill="FFFFFF"/>
          <w:lang w:val="en-US"/>
        </w:rPr>
        <w:t>2</w:t>
      </w:r>
      <w:r>
        <w:rPr>
          <w:rFonts w:hint="eastAsia" w:ascii="仿宋_GB2312" w:hAnsi="仿宋_GB2312" w:eastAsia="仿宋_GB2312" w:cs="仿宋_GB2312"/>
          <w:b w:val="0"/>
          <w:bCs w:val="0"/>
          <w:color w:val="auto"/>
          <w:sz w:val="32"/>
          <w:szCs w:val="32"/>
          <w:shd w:val="clear" w:fill="FFFFFF"/>
        </w:rPr>
        <w:t>条；机构设置类</w:t>
      </w:r>
      <w:r>
        <w:rPr>
          <w:rFonts w:hint="eastAsia" w:ascii="仿宋_GB2312" w:hAnsi="仿宋_GB2312" w:eastAsia="仿宋_GB2312" w:cs="仿宋_GB2312"/>
          <w:b w:val="0"/>
          <w:bCs w:val="0"/>
          <w:color w:val="auto"/>
          <w:sz w:val="32"/>
          <w:szCs w:val="32"/>
          <w:shd w:val="clear" w:fill="FFFFFF"/>
          <w:lang w:val="en-US"/>
        </w:rPr>
        <w:t>1</w:t>
      </w:r>
      <w:r>
        <w:rPr>
          <w:rFonts w:hint="eastAsia" w:ascii="仿宋_GB2312" w:hAnsi="仿宋_GB2312" w:eastAsia="仿宋_GB2312" w:cs="仿宋_GB2312"/>
          <w:b w:val="0"/>
          <w:bCs w:val="0"/>
          <w:color w:val="auto"/>
          <w:sz w:val="32"/>
          <w:szCs w:val="32"/>
          <w:shd w:val="clear" w:fill="FFFFFF"/>
        </w:rPr>
        <w:t>条；行政权力类</w:t>
      </w:r>
      <w:r>
        <w:rPr>
          <w:rFonts w:hint="eastAsia" w:ascii="仿宋_GB2312" w:hAnsi="仿宋_GB2312" w:eastAsia="仿宋_GB2312" w:cs="仿宋_GB2312"/>
          <w:b w:val="0"/>
          <w:bCs w:val="0"/>
          <w:color w:val="auto"/>
          <w:sz w:val="32"/>
          <w:szCs w:val="32"/>
          <w:shd w:val="clear" w:fill="FFFFFF"/>
          <w:lang w:val="en-US"/>
        </w:rPr>
        <w:t>6</w:t>
      </w:r>
      <w:r>
        <w:rPr>
          <w:rFonts w:hint="eastAsia" w:ascii="仿宋_GB2312" w:hAnsi="仿宋_GB2312" w:eastAsia="仿宋_GB2312" w:cs="仿宋_GB2312"/>
          <w:b w:val="0"/>
          <w:bCs w:val="0"/>
          <w:color w:val="auto"/>
          <w:sz w:val="32"/>
          <w:szCs w:val="32"/>
          <w:shd w:val="clear" w:fill="FFFFFF"/>
        </w:rPr>
        <w:t>条；业务动态类信息</w:t>
      </w:r>
      <w:r>
        <w:rPr>
          <w:rFonts w:hint="eastAsia" w:ascii="仿宋_GB2312" w:hAnsi="仿宋_GB2312" w:eastAsia="仿宋_GB2312" w:cs="仿宋_GB2312"/>
          <w:b w:val="0"/>
          <w:bCs w:val="0"/>
          <w:color w:val="auto"/>
          <w:sz w:val="32"/>
          <w:szCs w:val="32"/>
          <w:shd w:val="clear" w:fill="FFFFFF"/>
          <w:lang w:val="en-US"/>
        </w:rPr>
        <w:t>5</w:t>
      </w:r>
      <w:r>
        <w:rPr>
          <w:rFonts w:hint="eastAsia" w:ascii="仿宋_GB2312" w:hAnsi="仿宋_GB2312" w:eastAsia="仿宋_GB2312" w:cs="仿宋_GB2312"/>
          <w:b w:val="0"/>
          <w:bCs w:val="0"/>
          <w:color w:val="auto"/>
          <w:sz w:val="32"/>
          <w:szCs w:val="32"/>
          <w:shd w:val="clear" w:fill="FFFFFF"/>
        </w:rPr>
        <w:t>条。共收到政协提案</w:t>
      </w:r>
      <w:r>
        <w:rPr>
          <w:rFonts w:hint="eastAsia" w:ascii="仿宋_GB2312" w:hAnsi="仿宋_GB2312" w:eastAsia="仿宋_GB2312" w:cs="仿宋_GB2312"/>
          <w:b w:val="0"/>
          <w:bCs w:val="0"/>
          <w:color w:val="auto"/>
          <w:sz w:val="32"/>
          <w:szCs w:val="32"/>
          <w:shd w:val="clear" w:fill="FFFFFF"/>
          <w:lang w:val="en-US"/>
        </w:rPr>
        <w:t>5</w:t>
      </w:r>
      <w:r>
        <w:rPr>
          <w:rFonts w:hint="eastAsia" w:ascii="仿宋_GB2312" w:hAnsi="仿宋_GB2312" w:eastAsia="仿宋_GB2312" w:cs="仿宋_GB2312"/>
          <w:b w:val="0"/>
          <w:bCs w:val="0"/>
          <w:color w:val="auto"/>
          <w:sz w:val="32"/>
          <w:szCs w:val="32"/>
          <w:shd w:val="clear" w:fill="FFFFFF"/>
        </w:rPr>
        <w:t>个，人大建议</w:t>
      </w:r>
      <w:r>
        <w:rPr>
          <w:rFonts w:hint="eastAsia" w:ascii="仿宋_GB2312" w:hAnsi="仿宋_GB2312" w:eastAsia="仿宋_GB2312" w:cs="仿宋_GB2312"/>
          <w:b w:val="0"/>
          <w:bCs w:val="0"/>
          <w:color w:val="auto"/>
          <w:sz w:val="32"/>
          <w:szCs w:val="32"/>
          <w:shd w:val="clear" w:fill="FFFFFF"/>
          <w:lang w:val="en-US"/>
        </w:rPr>
        <w:t>5</w:t>
      </w:r>
      <w:r>
        <w:rPr>
          <w:rFonts w:hint="eastAsia" w:ascii="仿宋_GB2312" w:hAnsi="仿宋_GB2312" w:eastAsia="仿宋_GB2312" w:cs="仿宋_GB2312"/>
          <w:b w:val="0"/>
          <w:bCs w:val="0"/>
          <w:color w:val="auto"/>
          <w:sz w:val="32"/>
          <w:szCs w:val="32"/>
          <w:shd w:val="clear" w:fill="FFFFFF"/>
        </w:rPr>
        <w:t>个，均已在期限内办结。</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lang w:val="en-US"/>
        </w:rPr>
        <w:t>2021</w:t>
      </w:r>
      <w:r>
        <w:rPr>
          <w:rFonts w:hint="eastAsia" w:ascii="仿宋_GB2312" w:hAnsi="仿宋_GB2312" w:eastAsia="仿宋_GB2312" w:cs="仿宋_GB2312"/>
          <w:b w:val="0"/>
          <w:bCs w:val="0"/>
          <w:color w:val="auto"/>
          <w:sz w:val="32"/>
          <w:szCs w:val="32"/>
          <w:shd w:val="clear" w:fill="FFFFFF"/>
        </w:rPr>
        <w:t>年“张店</w:t>
      </w:r>
      <w:r>
        <w:rPr>
          <w:rFonts w:hint="eastAsia" w:ascii="仿宋_GB2312" w:hAnsi="仿宋_GB2312" w:eastAsia="仿宋_GB2312" w:cs="仿宋_GB2312"/>
          <w:b w:val="0"/>
          <w:bCs w:val="0"/>
          <w:color w:val="auto"/>
          <w:sz w:val="32"/>
          <w:szCs w:val="32"/>
          <w:shd w:val="clear" w:fill="FFFFFF"/>
          <w:lang w:eastAsia="zh-CN"/>
        </w:rPr>
        <w:t>区地方金融监督管理局</w:t>
      </w:r>
      <w:r>
        <w:rPr>
          <w:rFonts w:hint="eastAsia" w:ascii="仿宋_GB2312" w:hAnsi="仿宋_GB2312" w:eastAsia="仿宋_GB2312" w:cs="仿宋_GB2312"/>
          <w:b w:val="0"/>
          <w:bCs w:val="0"/>
          <w:color w:val="auto"/>
          <w:sz w:val="32"/>
          <w:szCs w:val="32"/>
          <w:shd w:val="clear" w:fill="FFFFFF"/>
        </w:rPr>
        <w:t>”微信公众号累计发送微信</w:t>
      </w:r>
      <w:r>
        <w:rPr>
          <w:rFonts w:hint="eastAsia" w:ascii="仿宋_GB2312" w:hAnsi="仿宋_GB2312" w:eastAsia="仿宋_GB2312" w:cs="仿宋_GB2312"/>
          <w:b w:val="0"/>
          <w:bCs w:val="0"/>
          <w:color w:val="auto"/>
          <w:sz w:val="32"/>
          <w:szCs w:val="32"/>
          <w:shd w:val="clear" w:fill="FFFFFF"/>
          <w:lang w:val="en-US"/>
        </w:rPr>
        <w:t>40</w:t>
      </w:r>
      <w:r>
        <w:rPr>
          <w:rFonts w:hint="eastAsia" w:ascii="仿宋_GB2312" w:hAnsi="仿宋_GB2312" w:eastAsia="仿宋_GB2312" w:cs="仿宋_GB2312"/>
          <w:b w:val="0"/>
          <w:bCs w:val="0"/>
          <w:color w:val="auto"/>
          <w:sz w:val="32"/>
          <w:szCs w:val="32"/>
          <w:shd w:val="clear" w:fill="FFFFFF"/>
        </w:rPr>
        <w:t>期，共计</w:t>
      </w:r>
      <w:r>
        <w:rPr>
          <w:rFonts w:hint="eastAsia" w:ascii="仿宋_GB2312" w:hAnsi="仿宋_GB2312" w:eastAsia="仿宋_GB2312" w:cs="仿宋_GB2312"/>
          <w:b w:val="0"/>
          <w:bCs w:val="0"/>
          <w:color w:val="auto"/>
          <w:sz w:val="32"/>
          <w:szCs w:val="32"/>
          <w:shd w:val="clear" w:fill="FFFFFF"/>
          <w:lang w:val="en-US"/>
        </w:rPr>
        <w:t>79</w:t>
      </w:r>
      <w:r>
        <w:rPr>
          <w:rFonts w:hint="eastAsia" w:ascii="仿宋_GB2312" w:hAnsi="仿宋_GB2312" w:eastAsia="仿宋_GB2312" w:cs="仿宋_GB2312"/>
          <w:b w:val="0"/>
          <w:bCs w:val="0"/>
          <w:color w:val="auto"/>
          <w:sz w:val="32"/>
          <w:szCs w:val="32"/>
          <w:shd w:val="clear" w:fill="FFFFFF"/>
        </w:rPr>
        <w:t>条。</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lang w:eastAsia="zh-CN"/>
        </w:rPr>
      </w:pPr>
      <w:r>
        <w:rPr>
          <w:rFonts w:hint="eastAsia" w:ascii="仿宋_GB2312" w:hAnsi="仿宋_GB2312" w:eastAsia="仿宋_GB2312" w:cs="仿宋_GB2312"/>
          <w:b w:val="0"/>
          <w:bCs w:val="0"/>
          <w:color w:val="auto"/>
          <w:sz w:val="32"/>
          <w:szCs w:val="32"/>
          <w:shd w:val="clear" w:fill="FFFFFF"/>
          <w:lang w:eastAsia="zh-CN"/>
        </w:rPr>
        <w:drawing>
          <wp:anchor distT="0" distB="0" distL="114300" distR="114300" simplePos="0" relativeHeight="251659264" behindDoc="0" locked="0" layoutInCell="1" allowOverlap="1">
            <wp:simplePos x="0" y="0"/>
            <wp:positionH relativeFrom="column">
              <wp:posOffset>146685</wp:posOffset>
            </wp:positionH>
            <wp:positionV relativeFrom="paragraph">
              <wp:posOffset>29845</wp:posOffset>
            </wp:positionV>
            <wp:extent cx="4943475" cy="3228975"/>
            <wp:effectExtent l="0" t="0" r="9525" b="9525"/>
            <wp:wrapNone/>
            <wp:docPr id="2" name="图片 2" descr="微信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1"/>
                    <pic:cNvPicPr>
                      <a:picLocks noChangeAspect="1"/>
                    </pic:cNvPicPr>
                  </pic:nvPicPr>
                  <pic:blipFill>
                    <a:blip r:embed="rId4"/>
                    <a:stretch>
                      <a:fillRect/>
                    </a:stretch>
                  </pic:blipFill>
                  <pic:spPr>
                    <a:xfrm>
                      <a:off x="0" y="0"/>
                      <a:ext cx="4943475" cy="3228975"/>
                    </a:xfrm>
                    <a:prstGeom prst="rect">
                      <a:avLst/>
                    </a:prstGeom>
                  </pic:spPr>
                </pic:pic>
              </a:graphicData>
            </a:graphic>
          </wp:anchor>
        </w:drawing>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我局年度预决算报告、法规文件、计划规划、工作总结、机构职能等涉及公民、法人或者其他组织切身利益，需要社会公众广泛知晓或参与的重要信息，均做到了及时发布与更新。</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shd w:val="clear" w:fill="FFFFFF"/>
        </w:rPr>
        <w:t>（二）依申请公开办理情况</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本年度未收到依申请公开政府信息。</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shd w:val="clear" w:fill="FFFFFF"/>
        </w:rPr>
        <w:t>（三）政府信息资源的规范化、标准化管理情况</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rPr>
        <w:t>我局高度重视信息公开工作，把公开透明作为我局工作的基本要求，围绕重点领域事项、工作要点清单要求，完善信息采集、整理、审核、发布、巡检等流程、制度，结合实际情况进一步完善了《张店区地方金融监督管理局信息公开目录》和《张店区地方金融监督管理局信息公开指南》。明确组织领导、分管领导，确定综合科为主管科室，负责推进、指导、协调、监督我局政府信息公开工作，并指定</w:t>
      </w:r>
      <w:r>
        <w:rPr>
          <w:rFonts w:hint="eastAsia" w:ascii="仿宋_GB2312" w:hAnsi="仿宋_GB2312" w:eastAsia="仿宋_GB2312" w:cs="仿宋_GB2312"/>
          <w:b w:val="0"/>
          <w:bCs w:val="0"/>
          <w:color w:val="auto"/>
          <w:sz w:val="32"/>
          <w:szCs w:val="32"/>
          <w:shd w:val="clear" w:fill="FFFFFF"/>
          <w:lang w:val="en-US"/>
        </w:rPr>
        <w:t>1</w:t>
      </w:r>
      <w:r>
        <w:rPr>
          <w:rFonts w:hint="eastAsia" w:ascii="仿宋_GB2312" w:hAnsi="仿宋_GB2312" w:eastAsia="仿宋_GB2312" w:cs="仿宋_GB2312"/>
          <w:b w:val="0"/>
          <w:bCs w:val="0"/>
          <w:color w:val="auto"/>
          <w:sz w:val="32"/>
          <w:szCs w:val="32"/>
          <w:shd w:val="clear" w:fill="FFFFFF"/>
        </w:rPr>
        <w:t>名工作人员负责具体事务，定期检查维护相关栏目信息，确保信息公开稳步落实。一年来，为保障公民、法人或其他组织依法获取信息，我局将本机关在履行职责过程中制作或获取的信息主动向公众公布。依照《国家保密法》及其他相关法律、法规和国家有关规定，涉及国家秘密、商业秘密和个人隐私的政府信息不公开。本机关在履行职责过程中制作或者获取的政府信息，除依法免予公开的外，均予以公开或者依公民、法人和其他组织的申请予以提供。</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lang w:eastAsia="zh-CN"/>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r>
        <w:rPr>
          <w:rFonts w:hint="eastAsia" w:ascii="仿宋_GB2312" w:hAnsi="仿宋_GB2312" w:eastAsia="仿宋_GB2312" w:cs="仿宋_GB2312"/>
          <w:b w:val="0"/>
          <w:bCs w:val="0"/>
          <w:color w:val="auto"/>
          <w:sz w:val="32"/>
          <w:szCs w:val="32"/>
          <w:shd w:val="clear" w:fill="FFFFFF"/>
          <w:lang w:eastAsia="zh-CN"/>
        </w:rPr>
        <w:drawing>
          <wp:anchor distT="0" distB="0" distL="114300" distR="114300" simplePos="0" relativeHeight="251660288" behindDoc="0" locked="0" layoutInCell="1" allowOverlap="1">
            <wp:simplePos x="0" y="0"/>
            <wp:positionH relativeFrom="column">
              <wp:posOffset>102870</wp:posOffset>
            </wp:positionH>
            <wp:positionV relativeFrom="paragraph">
              <wp:posOffset>80645</wp:posOffset>
            </wp:positionV>
            <wp:extent cx="5146675" cy="3930650"/>
            <wp:effectExtent l="0" t="0" r="15875" b="12700"/>
            <wp:wrapNone/>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5"/>
                    <a:stretch>
                      <a:fillRect/>
                    </a:stretch>
                  </pic:blipFill>
                  <pic:spPr>
                    <a:xfrm>
                      <a:off x="0" y="0"/>
                      <a:ext cx="5146675" cy="3930650"/>
                    </a:xfrm>
                    <a:prstGeom prst="rect">
                      <a:avLst/>
                    </a:prstGeom>
                  </pic:spPr>
                </pic:pic>
              </a:graphicData>
            </a:graphic>
          </wp:anchor>
        </w:drawing>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shd w:val="clear" w:fill="FFFFFF"/>
        </w:rPr>
      </w:pP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我局依法组织开展政府信息公开工作，坚持以公开为常态、不公开为例外，围绕区委区政府中心工作，进一步推动我局主动公开常规化、规范化；围绕防范金融风险，持续推进金融安全宣传，向群众普及金融安全知识；畅通依申请公开受理渠道，进一步完善依申请受理、办理、答复各环节，规范办理程序，提高工作效率，确保各环节有法可依、证据充分。</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shd w:val="clear" w:fill="FFFFFF"/>
        </w:rPr>
        <w:t>（四）政府信息公开平台建设情况</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完善政务公开平台建设。不断加强完善“张店金融”微信建设，设置金融知识、政策法规、信息平台等板块，提高金融政策、行业信息、金融安全推送比例，实现了新媒体平台政务信息发布常态化。</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shd w:val="clear" w:fill="FFFFFF"/>
        </w:rPr>
        <w:t>（五）政府信息公开监督保障及教育培训情况</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我局的信息公开工作在区委、区政府的正确领导下进行，按规定及时公开《政府信息公开年度报告》、《政府信息公开指南》等相关信息，广泛接受社会各界监督。</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负责信息公开的工作人员积极参加区政府信息公开办举办的信息公开交流培训会，学习依申请信息公开受理、登记、答复实际操作流程，依申请信息公开的答复类型等基础问题。综合科作为信息公开的主管科室，加强内部老带新培训和政务公开工作交接，并组织我局相关工作人员系统性的学习了政务公开相关制度、流程，取得了良好效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shd w:val="clear" w:color="auto" w:fill="FFFFFF"/>
        </w:rPr>
        <w:t>二、主动公开政府信息情况</w:t>
      </w:r>
    </w:p>
    <w:tbl>
      <w:tblPr>
        <w:tblStyle w:val="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47"/>
        <w:gridCol w:w="2448"/>
        <w:gridCol w:w="2448"/>
        <w:gridCol w:w="24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91" w:type="dxa"/>
            <w:gridSpan w:val="4"/>
            <w:tcBorders>
              <w:top w:val="single" w:color="auto" w:sz="8" w:space="0"/>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tabs>
                <w:tab w:val="left" w:pos="3186"/>
                <w:tab w:val="center" w:pos="4898"/>
              </w:tabs>
              <w:spacing w:before="0" w:beforeAutospacing="0" w:after="0" w:afterAutospacing="0"/>
              <w:ind w:left="0" w:right="0"/>
              <w:jc w:val="left"/>
            </w:pPr>
            <w:r>
              <w:rPr>
                <w:rFonts w:hint="eastAsia" w:cs="Times New Roman"/>
                <w:kern w:val="0"/>
                <w:sz w:val="20"/>
                <w:szCs w:val="20"/>
                <w:lang w:val="en-US" w:eastAsia="zh-CN" w:bidi="ar"/>
              </w:rPr>
              <w:tab/>
            </w:r>
            <w:r>
              <w:rPr>
                <w:rFonts w:hint="eastAsia" w:cs="Times New Roman"/>
                <w:kern w:val="0"/>
                <w:sz w:val="20"/>
                <w:szCs w:val="20"/>
                <w:lang w:val="en-US" w:eastAsia="zh-CN" w:bidi="ar"/>
              </w:rPr>
              <w:tab/>
            </w:r>
            <w:r>
              <w:rPr>
                <w:rFonts w:ascii="Calibri" w:hAnsi="Calibri" w:eastAsia="宋体" w:cs="Times New Roman"/>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信息内容</w:t>
            </w:r>
          </w:p>
        </w:tc>
        <w:tc>
          <w:tcPr>
            <w:tcW w:w="2448" w:type="dxa"/>
            <w:tcBorders>
              <w:top w:val="single" w:color="auto" w:sz="8" w:space="0"/>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本年</w:t>
            </w:r>
            <w:r>
              <w:rPr>
                <w:rFonts w:hint="eastAsia" w:ascii="宋体" w:hAnsi="宋体" w:eastAsia="宋体" w:cs="宋体"/>
                <w:kern w:val="0"/>
                <w:sz w:val="20"/>
                <w:szCs w:val="20"/>
                <w:lang w:val="en-US" w:eastAsia="zh-CN" w:bidi="ar"/>
              </w:rPr>
              <w:t>制</w:t>
            </w:r>
            <w:r>
              <w:rPr>
                <w:rFonts w:ascii="Calibri" w:hAnsi="Calibri" w:eastAsia="宋体" w:cs="Times New Roman"/>
                <w:kern w:val="0"/>
                <w:sz w:val="20"/>
                <w:szCs w:val="20"/>
                <w:lang w:val="en-US" w:eastAsia="zh-CN" w:bidi="ar"/>
              </w:rPr>
              <w:t>发件</w:t>
            </w:r>
            <w:r>
              <w:rPr>
                <w:rFonts w:hint="eastAsia" w:ascii="宋体" w:hAnsi="宋体" w:eastAsia="宋体" w:cs="宋体"/>
                <w:kern w:val="0"/>
                <w:sz w:val="20"/>
                <w:szCs w:val="20"/>
                <w:lang w:val="en-US" w:eastAsia="zh-CN" w:bidi="ar"/>
              </w:rPr>
              <w:t>数</w:t>
            </w:r>
          </w:p>
        </w:tc>
        <w:tc>
          <w:tcPr>
            <w:tcW w:w="2448" w:type="dxa"/>
            <w:tcBorders>
              <w:top w:val="single" w:color="auto" w:sz="8" w:space="0"/>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本年废止件数</w:t>
            </w:r>
          </w:p>
        </w:tc>
        <w:tc>
          <w:tcPr>
            <w:tcW w:w="2448" w:type="dxa"/>
            <w:tcBorders>
              <w:top w:val="single" w:color="auto" w:sz="8" w:space="0"/>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规章</w:t>
            </w:r>
          </w:p>
        </w:tc>
        <w:tc>
          <w:tcPr>
            <w:tcW w:w="2448" w:type="dxa"/>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Times New Roman"/>
                <w:kern w:val="0"/>
                <w:sz w:val="20"/>
                <w:szCs w:val="20"/>
                <w:lang w:val="en-US" w:eastAsia="zh-CN" w:bidi="ar"/>
              </w:rPr>
              <w:t>0</w:t>
            </w:r>
          </w:p>
        </w:tc>
        <w:tc>
          <w:tcPr>
            <w:tcW w:w="2448" w:type="dxa"/>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ascii="Calibri" w:hAnsi="Calibri" w:eastAsia="宋体" w:cs="Times New Roman"/>
                <w:kern w:val="0"/>
                <w:sz w:val="20"/>
                <w:szCs w:val="20"/>
                <w:lang w:val="en-US" w:eastAsia="zh-CN" w:bidi="ar"/>
              </w:rPr>
              <w:t> 　</w:t>
            </w:r>
            <w:r>
              <w:rPr>
                <w:rFonts w:hint="eastAsia" w:cs="Times New Roman"/>
                <w:kern w:val="0"/>
                <w:sz w:val="20"/>
                <w:szCs w:val="20"/>
                <w:lang w:val="en-US" w:eastAsia="zh-CN" w:bidi="ar"/>
              </w:rPr>
              <w:t>0</w:t>
            </w:r>
          </w:p>
        </w:tc>
        <w:tc>
          <w:tcPr>
            <w:tcW w:w="2448" w:type="dxa"/>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1"/>
                <w:szCs w:val="21"/>
                <w:lang w:val="en-US" w:eastAsia="zh-CN" w:bidi="ar"/>
              </w:rPr>
              <w:t xml:space="preserve">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行政规范性文件</w:t>
            </w:r>
          </w:p>
        </w:tc>
        <w:tc>
          <w:tcPr>
            <w:tcW w:w="2448" w:type="dxa"/>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Times New Roman"/>
                <w:kern w:val="0"/>
                <w:sz w:val="20"/>
                <w:szCs w:val="20"/>
                <w:lang w:val="en-US" w:eastAsia="zh-CN" w:bidi="ar"/>
              </w:rPr>
              <w:t>0</w:t>
            </w:r>
          </w:p>
        </w:tc>
        <w:tc>
          <w:tcPr>
            <w:tcW w:w="2448" w:type="dxa"/>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ascii="Calibri" w:hAnsi="Calibri" w:eastAsia="宋体" w:cs="Times New Roman"/>
                <w:kern w:val="0"/>
                <w:sz w:val="20"/>
                <w:szCs w:val="20"/>
                <w:lang w:val="en-US" w:eastAsia="zh-CN" w:bidi="ar"/>
              </w:rPr>
              <w:t> 　</w:t>
            </w:r>
            <w:r>
              <w:rPr>
                <w:rFonts w:hint="eastAsia" w:cs="Times New Roman"/>
                <w:kern w:val="0"/>
                <w:sz w:val="20"/>
                <w:szCs w:val="20"/>
                <w:lang w:val="en-US" w:eastAsia="zh-CN" w:bidi="ar"/>
              </w:rPr>
              <w:t>0</w:t>
            </w:r>
          </w:p>
        </w:tc>
        <w:tc>
          <w:tcPr>
            <w:tcW w:w="2448" w:type="dxa"/>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eastAsia="宋体" w:cs="Calibri"/>
                <w:kern w:val="0"/>
                <w:sz w:val="21"/>
                <w:szCs w:val="21"/>
                <w:lang w:val="en-US" w:eastAsia="zh-CN" w:bidi="ar"/>
              </w:rPr>
              <w:t> </w:t>
            </w:r>
            <w:r>
              <w:rPr>
                <w:rFonts w:hint="eastAsia"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91"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信息内容</w:t>
            </w:r>
          </w:p>
        </w:tc>
        <w:tc>
          <w:tcPr>
            <w:tcW w:w="7344" w:type="dxa"/>
            <w:gridSpan w:val="3"/>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行政许可</w:t>
            </w:r>
          </w:p>
        </w:tc>
        <w:tc>
          <w:tcPr>
            <w:tcW w:w="7344" w:type="dxa"/>
            <w:gridSpan w:val="3"/>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default" w:ascii="Calibri" w:hAnsi="Calibri" w:eastAsia="宋体" w:cs="Calibri"/>
                <w:kern w:val="0"/>
                <w:sz w:val="21"/>
                <w:szCs w:val="21"/>
                <w:lang w:val="en-US" w:eastAsia="zh-CN" w:bidi="ar"/>
              </w:rPr>
              <w:t> </w:t>
            </w:r>
            <w:r>
              <w:rPr>
                <w:rFonts w:hint="eastAsia"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91"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信息内容</w:t>
            </w:r>
          </w:p>
        </w:tc>
        <w:tc>
          <w:tcPr>
            <w:tcW w:w="7344" w:type="dxa"/>
            <w:gridSpan w:val="3"/>
            <w:tcBorders>
              <w:top w:val="single" w:color="auto" w:sz="8" w:space="0"/>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行政处罚</w:t>
            </w:r>
          </w:p>
        </w:tc>
        <w:tc>
          <w:tcPr>
            <w:tcW w:w="7344" w:type="dxa"/>
            <w:gridSpan w:val="3"/>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Times New Roman"/>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行政强制</w:t>
            </w:r>
          </w:p>
        </w:tc>
        <w:tc>
          <w:tcPr>
            <w:tcW w:w="7344" w:type="dxa"/>
            <w:gridSpan w:val="3"/>
            <w:tcBorders>
              <w:top w:val="nil"/>
              <w:left w:val="nil"/>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Times New Roman"/>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91"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信息内容</w:t>
            </w:r>
          </w:p>
        </w:tc>
        <w:tc>
          <w:tcPr>
            <w:tcW w:w="7344" w:type="dxa"/>
            <w:gridSpan w:val="3"/>
            <w:tcBorders>
              <w:top w:val="nil"/>
              <w:left w:val="nil"/>
              <w:bottom w:val="single" w:color="auto" w:sz="8" w:space="0"/>
              <w:right w:val="single" w:color="000000"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47" w:type="dxa"/>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行政事业性收费</w:t>
            </w:r>
          </w:p>
        </w:tc>
        <w:tc>
          <w:tcPr>
            <w:tcW w:w="7344" w:type="dxa"/>
            <w:gridSpan w:val="3"/>
            <w:tcBorders>
              <w:top w:val="nil"/>
              <w:left w:val="nil"/>
              <w:bottom w:val="single" w:color="auto" w:sz="8" w:space="0"/>
              <w:right w:val="single" w:color="000000" w:sz="8" w:space="0"/>
            </w:tcBorders>
            <w:shd w:val="clear" w:color="auto" w:fill="FFFFFF"/>
            <w:noWrap w:val="0"/>
            <w:tcMar>
              <w:left w:w="57" w:type="dxa"/>
              <w:right w:w="57" w:type="dxa"/>
            </w:tcMar>
            <w:vAlign w:val="center"/>
          </w:tcPr>
          <w:p>
            <w:pPr>
              <w:jc w:val="center"/>
              <w:rPr>
                <w:rFonts w:hint="eastAsia" w:ascii="宋体" w:eastAsia="宋体"/>
                <w:sz w:val="24"/>
                <w:szCs w:val="24"/>
                <w:lang w:val="en-US" w:eastAsia="zh-CN"/>
              </w:rPr>
            </w:pPr>
            <w:r>
              <w:rPr>
                <w:rFonts w:hint="eastAsia" w:ascii="宋体"/>
                <w:sz w:val="24"/>
                <w:szCs w:val="24"/>
                <w:lang w:val="en-US" w:eastAsia="zh-CN"/>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shd w:val="clear" w:color="auto" w:fill="FFFFFF"/>
        </w:rPr>
        <w:t>三、收到和处理政府信息公开申请情况</w:t>
      </w:r>
    </w:p>
    <w:tbl>
      <w:tblPr>
        <w:tblStyle w:val="3"/>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0"/>
              <w:jc w:val="both"/>
            </w:pPr>
            <w:r>
              <w:rPr>
                <w:rFonts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88" w:type="dxa"/>
            <w:vMerge w:val="restart"/>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88" w:type="dxa"/>
            <w:vMerge w:val="continue"/>
            <w:tcBorders>
              <w:top w:val="nil"/>
              <w:left w:val="nil"/>
              <w:bottom w:val="single" w:color="auto" w:sz="8" w:space="0"/>
              <w:right w:val="single" w:color="auto" w:sz="8" w:space="0"/>
            </w:tcBorders>
            <w:noWrap w:val="0"/>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企业</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w:hAnsi="Calibri" w:eastAsia="宋体" w:cs="Times New Roman"/>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（一）予以公开</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宋体"/>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（三）不予公开</w:t>
            </w: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1.属于国家秘密</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（四）无法提供</w:t>
            </w: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（五）不予处理</w:t>
            </w: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2.重复申请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ascii="Calibri" w:hAnsi="Calibri" w:eastAsia="宋体" w:cs="Times New Roman"/>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（六）其他处理</w:t>
            </w:r>
          </w:p>
        </w:tc>
        <w:tc>
          <w:tcPr>
            <w:tcW w:w="322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ascii="Calibri" w:hAnsi="Calibri" w:eastAsia="宋体" w:cs="Times New Roman"/>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ascii="Calibri" w:hAnsi="Calibri" w:eastAsia="宋体" w:cs="Times New Roman"/>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3.其他</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（七）总计</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eastAsia="宋体"/>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Calibri" w:hAnsi="Calibri" w:eastAsia="宋体" w:cs="Times New Roman"/>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lang w:val="en-US" w:eastAsia="zh-CN"/>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sz w:val="24"/>
                <w:szCs w:val="24"/>
              </w:rPr>
            </w:pPr>
            <w:r>
              <w:rPr>
                <w:rFonts w:hint="eastAsia"/>
                <w:lang w:val="en-US" w:eastAsia="zh-CN"/>
              </w:rPr>
              <w:t>0</w:t>
            </w:r>
          </w:p>
        </w:tc>
      </w:tr>
    </w:tbl>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leftChars="0" w:right="0" w:firstLine="640" w:firstLineChars="0"/>
        <w:jc w:val="both"/>
        <w:rPr>
          <w:rFonts w:hint="eastAsia" w:ascii="黑体" w:hAnsi="宋体" w:eastAsia="黑体" w:cs="黑体"/>
          <w:i w:val="0"/>
          <w:caps w:val="0"/>
          <w:color w:val="000000"/>
          <w:spacing w:val="0"/>
          <w:sz w:val="32"/>
          <w:szCs w:val="32"/>
          <w:shd w:val="clear" w:color="auto" w:fill="FFFFFF"/>
        </w:rPr>
      </w:pPr>
      <w:r>
        <w:rPr>
          <w:rFonts w:hint="eastAsia" w:ascii="黑体" w:hAnsi="宋体" w:eastAsia="黑体" w:cs="黑体"/>
          <w:i w:val="0"/>
          <w:caps w:val="0"/>
          <w:color w:val="000000"/>
          <w:spacing w:val="0"/>
          <w:sz w:val="32"/>
          <w:szCs w:val="32"/>
          <w:shd w:val="clear" w:color="auto" w:fill="FFFFFF"/>
        </w:rPr>
        <w:t>政府信息公开行政复议、行政诉讼情况</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640" w:leftChars="0" w:right="0" w:rightChars="0"/>
        <w:jc w:val="both"/>
        <w:rPr>
          <w:rFonts w:hint="eastAsia" w:ascii="黑体" w:hAnsi="宋体" w:eastAsia="黑体" w:cs="黑体"/>
          <w:i w:val="0"/>
          <w:caps w:val="0"/>
          <w:color w:val="000000"/>
          <w:spacing w:val="0"/>
          <w:sz w:val="32"/>
          <w:szCs w:val="32"/>
          <w:shd w:val="clear" w:color="auto" w:fill="FFFFFF"/>
        </w:rPr>
      </w:pPr>
    </w:p>
    <w:tbl>
      <w:tblPr>
        <w:tblStyle w:val="3"/>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结果</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其他</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尚未</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sz w:val="24"/>
                <w:szCs w:val="24"/>
              </w:rPr>
            </w:pP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结果</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结果</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其他</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尚未</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结果</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结果</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其他</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尚未</w:t>
            </w:r>
            <w:r>
              <w:rPr>
                <w:rFonts w:ascii="Calibri" w:hAnsi="Calibri" w:eastAsia="宋体" w:cs="Times New Roman"/>
                <w:kern w:val="0"/>
                <w:sz w:val="20"/>
                <w:szCs w:val="20"/>
                <w:lang w:val="en-US" w:eastAsia="zh-CN" w:bidi="ar"/>
              </w:rPr>
              <w:br w:type="textWrapping"/>
            </w:r>
            <w:r>
              <w:rPr>
                <w:rFonts w:ascii="Calibri" w:hAnsi="Calibri" w:eastAsia="宋体" w:cs="Times New Roman"/>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ascii="Calibri" w:hAnsi="Calibri" w:eastAsia="宋体" w:cs="Times New Roman"/>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eastAsia="宋体"/>
                <w:sz w:val="24"/>
                <w:szCs w:val="24"/>
                <w:lang w:val="en-US" w:eastAsia="zh-CN"/>
              </w:rPr>
            </w:pPr>
            <w:r>
              <w:rPr>
                <w:rFonts w:hint="eastAsia" w:ascii="黑体" w:hAnsi="宋体" w:eastAsia="黑体" w:cs="黑体"/>
                <w:kern w:val="0"/>
                <w:sz w:val="20"/>
                <w:szCs w:val="20"/>
                <w:lang w:val="en-US" w:eastAsia="zh-CN" w:bidi="ar"/>
              </w:rPr>
              <w:t>0</w:t>
            </w:r>
          </w:p>
        </w:tc>
      </w:tr>
    </w:tbl>
    <w:p>
      <w:pPr>
        <w:pStyle w:val="2"/>
        <w:keepNext w:val="0"/>
        <w:keepLines w:val="0"/>
        <w:pageBreakBefore w:val="0"/>
        <w:widowControl/>
        <w:suppressLineNumbers w:val="0"/>
        <w:shd w:val="clear" w:fill="FFFFFF"/>
        <w:kinsoku/>
        <w:wordWrap/>
        <w:overflowPunct/>
        <w:topLinePunct w:val="0"/>
        <w:autoSpaceDN/>
        <w:bidi w:val="0"/>
        <w:adjustRightInd/>
        <w:snapToGrid/>
        <w:spacing w:beforeAutospacing="0" w:after="0" w:afterAutospacing="0" w:line="560" w:lineRule="exact"/>
        <w:ind w:left="0" w:firstLine="64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shd w:val="clear" w:fill="FFFFFF"/>
        </w:rPr>
        <w:t>五、存在的主要问题及改进情况</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left="0" w:firstLine="640"/>
        <w:jc w:val="both"/>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shd w:val="clear" w:fill="FFFFFF"/>
        </w:rPr>
        <w:t>（一）主要问题</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我局的政府信息公开工作目前主要存在的问题是：政府信息和政务公开工作发展不均衡，需适应新形势、新任务、新要求，还需要进一步转变观念、开拓思路、创新举措，实现精细化、个性化、特色化的公开效果。</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firstLine="640" w:firstLineChars="200"/>
        <w:jc w:val="both"/>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shd w:val="clear" w:fill="FFFFFF"/>
        </w:rPr>
        <w:t>（二）改进措施</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一是突出认真落实新发展理念。加强组织领导，进一步明确工作机构的职责和任务。加强教育培训，开展政府信息公开人员业务培训和研讨交流，提升人员能力水平和专业素养，提高业务工作人员工作创新能力。</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shd w:val="clear" w:fill="FFFFFF"/>
        </w:rPr>
        <w:t>二是要强化监督。加强内部和外部监督，自觉接受群众、社会、媒体的监督，提高信息公开工作的质量。</w:t>
      </w:r>
    </w:p>
    <w:p>
      <w:pPr>
        <w:pStyle w:val="2"/>
        <w:keepNext w:val="0"/>
        <w:keepLines w:val="0"/>
        <w:pageBreakBefore w:val="0"/>
        <w:widowControl/>
        <w:suppressLineNumbers w:val="0"/>
        <w:shd w:val="clear" w:fill="FFFFFF"/>
        <w:kinsoku/>
        <w:wordWrap/>
        <w:overflowPunct/>
        <w:topLinePunct w:val="0"/>
        <w:autoSpaceDE w:val="0"/>
        <w:autoSpaceDN/>
        <w:bidi w:val="0"/>
        <w:adjustRightInd/>
        <w:snapToGrid/>
        <w:spacing w:beforeAutospacing="0" w:after="0" w:afterAutospacing="0"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shd w:val="clear" w:fill="FFFFFF"/>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jc w:val="both"/>
        <w:textAlignment w:val="auto"/>
        <w:outlineLvl w:val="9"/>
        <w:rPr>
          <w:rFonts w:hint="eastAsia" w:ascii="仿宋_GB2312" w:hAnsi="仿宋_GB2312" w:eastAsia="仿宋_GB2312" w:cs="仿宋_GB2312"/>
          <w:b w:val="0"/>
          <w:bCs w:val="0"/>
          <w:i w:val="0"/>
          <w:caps w:val="0"/>
          <w:color w:val="auto"/>
          <w:spacing w:val="0"/>
          <w:sz w:val="32"/>
          <w:szCs w:val="32"/>
          <w:shd w:val="clear" w:color="auto" w:fill="FFFFFF"/>
        </w:rPr>
      </w:pPr>
      <w:r>
        <w:rPr>
          <w:rFonts w:hint="eastAsia" w:ascii="楷体" w:hAnsi="楷体" w:eastAsia="楷体" w:cs="楷体"/>
          <w:b w:val="0"/>
          <w:bCs w:val="0"/>
          <w:i w:val="0"/>
          <w:caps w:val="0"/>
          <w:color w:val="auto"/>
          <w:spacing w:val="0"/>
          <w:sz w:val="32"/>
          <w:szCs w:val="32"/>
          <w:shd w:val="clear" w:color="auto" w:fill="FFFFFF"/>
          <w:lang w:eastAsia="zh-CN"/>
        </w:rPr>
        <w:t>（</w:t>
      </w:r>
      <w:r>
        <w:rPr>
          <w:rFonts w:hint="eastAsia" w:ascii="楷体" w:hAnsi="楷体" w:eastAsia="楷体" w:cs="楷体"/>
          <w:b w:val="0"/>
          <w:bCs w:val="0"/>
          <w:i w:val="0"/>
          <w:caps w:val="0"/>
          <w:color w:val="auto"/>
          <w:spacing w:val="0"/>
          <w:sz w:val="32"/>
          <w:szCs w:val="32"/>
          <w:shd w:val="clear" w:color="auto" w:fill="FFFFFF"/>
          <w:lang w:val="en-US" w:eastAsia="zh-CN"/>
        </w:rPr>
        <w:t>一</w:t>
      </w:r>
      <w:r>
        <w:rPr>
          <w:rFonts w:hint="eastAsia" w:ascii="楷体" w:hAnsi="楷体" w:eastAsia="楷体" w:cs="楷体"/>
          <w:b w:val="0"/>
          <w:bCs w:val="0"/>
          <w:i w:val="0"/>
          <w:caps w:val="0"/>
          <w:color w:val="auto"/>
          <w:spacing w:val="0"/>
          <w:sz w:val="32"/>
          <w:szCs w:val="32"/>
          <w:shd w:val="clear" w:color="auto" w:fill="FFFFFF"/>
          <w:lang w:eastAsia="zh-CN"/>
        </w:rPr>
        <w:t>）</w:t>
      </w:r>
      <w:r>
        <w:rPr>
          <w:rFonts w:hint="eastAsia" w:ascii="楷体" w:hAnsi="楷体" w:eastAsia="楷体" w:cs="楷体"/>
          <w:b w:val="0"/>
          <w:bCs w:val="0"/>
          <w:i w:val="0"/>
          <w:caps w:val="0"/>
          <w:color w:val="auto"/>
          <w:spacing w:val="0"/>
          <w:sz w:val="32"/>
          <w:szCs w:val="32"/>
          <w:shd w:val="clear" w:color="auto" w:fill="FFFFFF"/>
        </w:rPr>
        <w:t>收取信息处理费情况。</w:t>
      </w:r>
      <w:r>
        <w:rPr>
          <w:rFonts w:hint="eastAsia" w:ascii="仿宋_GB2312" w:hAnsi="仿宋_GB2312" w:eastAsia="仿宋_GB2312" w:cs="仿宋_GB2312"/>
          <w:b w:val="0"/>
          <w:bCs w:val="0"/>
          <w:i w:val="0"/>
          <w:caps w:val="0"/>
          <w:color w:val="auto"/>
          <w:spacing w:val="0"/>
          <w:sz w:val="32"/>
          <w:szCs w:val="32"/>
          <w:shd w:val="clear" w:color="auto" w:fill="FFFFFF"/>
        </w:rPr>
        <w:t>2021年</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我局</w:t>
      </w:r>
      <w:r>
        <w:rPr>
          <w:rFonts w:hint="eastAsia" w:ascii="仿宋_GB2312" w:hAnsi="仿宋_GB2312" w:eastAsia="仿宋_GB2312" w:cs="仿宋_GB2312"/>
          <w:b w:val="0"/>
          <w:bCs w:val="0"/>
          <w:i w:val="0"/>
          <w:caps w:val="0"/>
          <w:color w:val="auto"/>
          <w:spacing w:val="0"/>
          <w:sz w:val="32"/>
          <w:szCs w:val="32"/>
          <w:shd w:val="clear" w:color="auto" w:fill="FFFFFF"/>
        </w:rPr>
        <w:t>依申请公开政府信息</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数量为零，</w:t>
      </w:r>
      <w:r>
        <w:rPr>
          <w:rFonts w:hint="eastAsia" w:ascii="仿宋_GB2312" w:hAnsi="仿宋_GB2312" w:eastAsia="仿宋_GB2312" w:cs="仿宋_GB2312"/>
          <w:b w:val="0"/>
          <w:bCs w:val="0"/>
          <w:i w:val="0"/>
          <w:caps w:val="0"/>
          <w:color w:val="auto"/>
          <w:spacing w:val="0"/>
          <w:sz w:val="32"/>
          <w:szCs w:val="32"/>
          <w:shd w:val="clear" w:color="auto" w:fill="FFFFFF"/>
        </w:rPr>
        <w:t>未收取任何费用。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jc w:val="both"/>
        <w:textAlignment w:val="auto"/>
        <w:outlineLvl w:val="9"/>
        <w:rPr>
          <w:rFonts w:hint="eastAsia" w:ascii="仿宋_GB2312" w:hAnsi="仿宋_GB2312" w:eastAsia="仿宋_GB2312" w:cs="仿宋_GB2312"/>
          <w:b w:val="0"/>
          <w:bCs w:val="0"/>
          <w:i w:val="0"/>
          <w:caps w:val="0"/>
          <w:color w:val="auto"/>
          <w:spacing w:val="0"/>
          <w:sz w:val="32"/>
          <w:szCs w:val="32"/>
          <w:shd w:val="clear" w:color="auto" w:fill="FFFFFF"/>
          <w:lang w:val="en-US" w:eastAsia="zh-CN"/>
        </w:rPr>
      </w:pPr>
      <w:r>
        <w:rPr>
          <w:rFonts w:hint="eastAsia" w:ascii="楷体" w:hAnsi="楷体" w:eastAsia="楷体" w:cs="楷体"/>
          <w:b w:val="0"/>
          <w:bCs w:val="0"/>
          <w:i w:val="0"/>
          <w:caps w:val="0"/>
          <w:color w:val="auto"/>
          <w:spacing w:val="0"/>
          <w:sz w:val="32"/>
          <w:szCs w:val="32"/>
          <w:shd w:val="clear" w:color="auto" w:fill="FFFFFF"/>
          <w:lang w:eastAsia="zh-CN"/>
        </w:rPr>
        <w:t>（</w:t>
      </w:r>
      <w:r>
        <w:rPr>
          <w:rFonts w:hint="eastAsia" w:ascii="楷体" w:hAnsi="楷体" w:eastAsia="楷体" w:cs="楷体"/>
          <w:b w:val="0"/>
          <w:bCs w:val="0"/>
          <w:i w:val="0"/>
          <w:caps w:val="0"/>
          <w:color w:val="auto"/>
          <w:spacing w:val="0"/>
          <w:sz w:val="32"/>
          <w:szCs w:val="32"/>
          <w:shd w:val="clear" w:color="auto" w:fill="FFFFFF"/>
          <w:lang w:val="en-US" w:eastAsia="zh-CN"/>
        </w:rPr>
        <w:t>二</w:t>
      </w:r>
      <w:r>
        <w:rPr>
          <w:rFonts w:hint="eastAsia" w:ascii="楷体" w:hAnsi="楷体" w:eastAsia="楷体" w:cs="楷体"/>
          <w:b w:val="0"/>
          <w:bCs w:val="0"/>
          <w:i w:val="0"/>
          <w:caps w:val="0"/>
          <w:color w:val="auto"/>
          <w:spacing w:val="0"/>
          <w:sz w:val="32"/>
          <w:szCs w:val="32"/>
          <w:shd w:val="clear" w:color="auto" w:fill="FFFFFF"/>
          <w:lang w:eastAsia="zh-CN"/>
        </w:rPr>
        <w:t>）</w:t>
      </w:r>
      <w:r>
        <w:rPr>
          <w:rFonts w:hint="eastAsia" w:ascii="楷体" w:hAnsi="楷体" w:eastAsia="楷体" w:cs="楷体"/>
          <w:b w:val="0"/>
          <w:bCs w:val="0"/>
          <w:i w:val="0"/>
          <w:caps w:val="0"/>
          <w:color w:val="auto"/>
          <w:spacing w:val="0"/>
          <w:sz w:val="32"/>
          <w:szCs w:val="32"/>
          <w:shd w:val="clear" w:color="auto" w:fill="FFFFFF"/>
          <w:lang w:val="en-US" w:eastAsia="zh-CN"/>
        </w:rPr>
        <w:t>落实上级年度政务公开工作要点情况。</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张店区地方金融监督管理局按照上级工作部署和工作要求，加强组织领导，配置专人负责，制定政务公开培训方案，不断完善政务公开监督保障，切实保障政务公开工作的顺利开展。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ascii="仿宋_GB2312" w:hAnsi="仿宋_GB2312" w:eastAsia="仿宋_GB2312" w:cs="仿宋_GB2312"/>
          <w:b w:val="0"/>
          <w:bCs w:val="0"/>
          <w:i w:val="0"/>
          <w:caps w:val="0"/>
          <w:color w:val="auto"/>
          <w:spacing w:val="0"/>
          <w:sz w:val="32"/>
          <w:szCs w:val="32"/>
          <w:shd w:val="clear" w:color="auto" w:fill="FFFFFF"/>
          <w:lang w:val="en-US" w:eastAsia="zh-CN"/>
        </w:rPr>
      </w:pPr>
      <w:r>
        <w:rPr>
          <w:rFonts w:hint="eastAsia" w:ascii="楷体" w:hAnsi="楷体" w:eastAsia="楷体" w:cs="楷体"/>
          <w:b w:val="0"/>
          <w:bCs w:val="0"/>
          <w:i w:val="0"/>
          <w:caps w:val="0"/>
          <w:color w:val="auto"/>
          <w:spacing w:val="0"/>
          <w:sz w:val="32"/>
          <w:szCs w:val="32"/>
          <w:shd w:val="clear" w:color="auto" w:fill="FFFFFF"/>
          <w:lang w:eastAsia="zh-CN"/>
        </w:rPr>
        <w:t>（</w:t>
      </w:r>
      <w:r>
        <w:rPr>
          <w:rFonts w:hint="eastAsia" w:ascii="楷体" w:hAnsi="楷体" w:eastAsia="楷体" w:cs="楷体"/>
          <w:b w:val="0"/>
          <w:bCs w:val="0"/>
          <w:i w:val="0"/>
          <w:caps w:val="0"/>
          <w:color w:val="auto"/>
          <w:spacing w:val="0"/>
          <w:sz w:val="32"/>
          <w:szCs w:val="32"/>
          <w:shd w:val="clear" w:color="auto" w:fill="FFFFFF"/>
          <w:lang w:val="en-US" w:eastAsia="zh-CN"/>
        </w:rPr>
        <w:t>三</w:t>
      </w:r>
      <w:r>
        <w:rPr>
          <w:rFonts w:hint="eastAsia" w:ascii="楷体" w:hAnsi="楷体" w:eastAsia="楷体" w:cs="楷体"/>
          <w:b w:val="0"/>
          <w:bCs w:val="0"/>
          <w:i w:val="0"/>
          <w:caps w:val="0"/>
          <w:color w:val="auto"/>
          <w:spacing w:val="0"/>
          <w:sz w:val="32"/>
          <w:szCs w:val="32"/>
          <w:shd w:val="clear" w:color="auto" w:fill="FFFFFF"/>
          <w:lang w:eastAsia="zh-CN"/>
        </w:rPr>
        <w:t>）</w:t>
      </w:r>
      <w:r>
        <w:rPr>
          <w:rFonts w:hint="eastAsia" w:ascii="楷体" w:hAnsi="楷体" w:eastAsia="楷体" w:cs="楷体"/>
          <w:b w:val="0"/>
          <w:bCs w:val="0"/>
          <w:i w:val="0"/>
          <w:caps w:val="0"/>
          <w:color w:val="auto"/>
          <w:spacing w:val="0"/>
          <w:sz w:val="32"/>
          <w:szCs w:val="32"/>
          <w:shd w:val="clear" w:color="auto" w:fill="FFFFFF"/>
          <w:lang w:val="en-US" w:eastAsia="zh-CN"/>
        </w:rPr>
        <w:t>人大代表建议和政协提案办理结果公开情况。</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2021年度我局收到区人大代表建议5件和区政协提案4件，均已满意答复。</w:t>
      </w:r>
    </w:p>
    <w:p>
      <w:pPr>
        <w:keepNext w:val="0"/>
        <w:keepLines w:val="0"/>
        <w:pageBreakBefore w:val="0"/>
        <w:kinsoku/>
        <w:wordWrap/>
        <w:overflowPunct/>
        <w:topLinePunct w:val="0"/>
        <w:autoSpaceDN/>
        <w:bidi w:val="0"/>
        <w:adjustRightInd/>
        <w:snapToGrid/>
        <w:spacing w:beforeAutospacing="0" w:afterAutospacing="0" w:line="560" w:lineRule="exact"/>
        <w:jc w:val="both"/>
        <w:textAlignment w:val="auto"/>
        <w:rPr>
          <w:rFonts w:hint="eastAsia" w:ascii="仿宋_GB2312" w:hAnsi="仿宋_GB2312" w:eastAsia="仿宋_GB2312" w:cs="仿宋_GB2312"/>
          <w:b w:val="0"/>
          <w:bCs w:val="0"/>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B18D0"/>
    <w:multiLevelType w:val="singleLevel"/>
    <w:tmpl w:val="8A3B18D0"/>
    <w:lvl w:ilvl="0" w:tentative="0">
      <w:start w:val="2"/>
      <w:numFmt w:val="chineseCounting"/>
      <w:suff w:val="nothing"/>
      <w:lvlText w:val="%1、"/>
      <w:lvlJc w:val="left"/>
      <w:rPr>
        <w:rFonts w:hint="eastAsia"/>
      </w:rPr>
    </w:lvl>
  </w:abstractNum>
  <w:abstractNum w:abstractNumId="1">
    <w:nsid w:val="5D9D2166"/>
    <w:multiLevelType w:val="singleLevel"/>
    <w:tmpl w:val="5D9D216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6575A"/>
    <w:rsid w:val="02DC5CB3"/>
    <w:rsid w:val="037203C5"/>
    <w:rsid w:val="11BD13A5"/>
    <w:rsid w:val="17190E2C"/>
    <w:rsid w:val="177874FF"/>
    <w:rsid w:val="1A380F9B"/>
    <w:rsid w:val="1BF65BDF"/>
    <w:rsid w:val="1BFC114B"/>
    <w:rsid w:val="1EF34658"/>
    <w:rsid w:val="203315D3"/>
    <w:rsid w:val="25FA451E"/>
    <w:rsid w:val="29D62BAC"/>
    <w:rsid w:val="2B9D7E25"/>
    <w:rsid w:val="2E36575A"/>
    <w:rsid w:val="2FD1009E"/>
    <w:rsid w:val="301B756B"/>
    <w:rsid w:val="3D40725A"/>
    <w:rsid w:val="4C985673"/>
    <w:rsid w:val="4DDF61A9"/>
    <w:rsid w:val="56C9121F"/>
    <w:rsid w:val="5BFF6736"/>
    <w:rsid w:val="5DE828D3"/>
    <w:rsid w:val="5EAA5DDA"/>
    <w:rsid w:val="641461CF"/>
    <w:rsid w:val="66F26570"/>
    <w:rsid w:val="66F83B86"/>
    <w:rsid w:val="6C744605"/>
    <w:rsid w:val="73614861"/>
    <w:rsid w:val="73E57E93"/>
    <w:rsid w:val="76D812DE"/>
    <w:rsid w:val="7B86755B"/>
    <w:rsid w:val="7C6B04FF"/>
    <w:rsid w:val="7CFE75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2022-03-10T01:13:00Z</dcterms:created>
  <dc:creator>LENOVO</dc:creator>
  <cp:lastModifiedBy>LENOVO</cp:lastModifiedBy>
  <dcterms:modified xsi:type="dcterms:W3CDTF">2022-03-10T02:34:59Z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BEE70B86B1624B97A32A276C211E2E0B</vt:lpwstr>
  </property>
</Properties>
</file>