
<file path=[Content_Types].xml><?xml version="1.0" encoding="utf-8"?>
<Types xmlns="http://schemas.openxmlformats.org/package/2006/content-types">
  <Default Extension="xml" ContentType="application/xml"/>
  <Default Extension="xlsx" ContentType="application/vnd.openxmlformats-officedocument.spreadsheetml.sheet"/>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olors1.xml" ContentType="application/vnd.ms-office.chartcolorstyle+xml"/>
  <Override PartName="/word/charts/style1.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0"/>
        <w:jc w:val="center"/>
        <w:textAlignment w:val="auto"/>
        <w:outlineLvl w:val="9"/>
        <w:rPr>
          <w:rFonts w:hint="eastAsia" w:ascii="Times New Roman" w:hAnsi="Times New Roman" w:eastAsia="方正小标宋简体" w:cs="方正小标宋简体"/>
          <w:b w:val="0"/>
          <w:bCs/>
          <w:i w:val="0"/>
          <w:caps w:val="0"/>
          <w:color w:val="333333"/>
          <w:spacing w:val="-17"/>
          <w:sz w:val="44"/>
          <w:szCs w:val="44"/>
          <w:shd w:val="clear" w:fill="FFFFFF"/>
          <w:lang w:val="en-US" w:eastAsia="zh-CN"/>
        </w:rPr>
      </w:pPr>
      <w:r>
        <w:rPr>
          <w:rFonts w:hint="eastAsia" w:ascii="Times New Roman" w:hAnsi="Times New Roman" w:eastAsia="方正小标宋简体" w:cs="方正小标宋简体"/>
          <w:b w:val="0"/>
          <w:bCs/>
          <w:i w:val="0"/>
          <w:caps w:val="0"/>
          <w:color w:val="333333"/>
          <w:spacing w:val="-17"/>
          <w:sz w:val="44"/>
          <w:szCs w:val="44"/>
          <w:shd w:val="clear" w:fill="FFFFFF"/>
          <w:lang w:val="en-US" w:eastAsia="zh-CN"/>
        </w:rPr>
        <w:t>张店区地方金融监督管理局</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right="0" w:firstLine="0"/>
        <w:jc w:val="center"/>
        <w:textAlignment w:val="auto"/>
        <w:outlineLvl w:val="9"/>
        <w:rPr>
          <w:rFonts w:hint="eastAsia" w:ascii="Times New Roman" w:hAnsi="Times New Roman" w:eastAsia="方正小标宋简体" w:cs="方正小标宋简体"/>
          <w:b w:val="0"/>
          <w:bCs/>
          <w:i w:val="0"/>
          <w:caps w:val="0"/>
          <w:color w:val="333333"/>
          <w:spacing w:val="0"/>
          <w:sz w:val="44"/>
          <w:szCs w:val="44"/>
          <w:shd w:val="clear" w:fill="FFFFFF"/>
          <w:lang w:eastAsia="zh-CN"/>
        </w:rPr>
      </w:pPr>
      <w:r>
        <w:rPr>
          <w:rFonts w:hint="default" w:ascii="Times New Roman" w:hAnsi="Times New Roman" w:eastAsia="方正小标宋简体" w:cs="Times New Roman"/>
          <w:b w:val="0"/>
          <w:bCs/>
          <w:i w:val="0"/>
          <w:caps w:val="0"/>
          <w:color w:val="333333"/>
          <w:spacing w:val="-17"/>
          <w:sz w:val="44"/>
          <w:szCs w:val="44"/>
          <w:shd w:val="clear" w:fill="FFFFFF"/>
          <w:lang w:val="en-US" w:eastAsia="zh-CN"/>
        </w:rPr>
        <w:t>202</w:t>
      </w:r>
      <w:r>
        <w:rPr>
          <w:rFonts w:hint="eastAsia" w:ascii="Times New Roman" w:hAnsi="Times New Roman" w:eastAsia="方正小标宋简体" w:cs="Times New Roman"/>
          <w:b w:val="0"/>
          <w:bCs/>
          <w:i w:val="0"/>
          <w:caps w:val="0"/>
          <w:color w:val="333333"/>
          <w:spacing w:val="-17"/>
          <w:sz w:val="44"/>
          <w:szCs w:val="44"/>
          <w:shd w:val="clear" w:fill="FFFFFF"/>
          <w:lang w:val="en-US" w:eastAsia="zh-CN"/>
        </w:rPr>
        <w:t>3</w:t>
      </w:r>
      <w:r>
        <w:rPr>
          <w:rFonts w:hint="eastAsia" w:ascii="Times New Roman" w:hAnsi="Times New Roman" w:eastAsia="方正小标宋简体" w:cs="方正小标宋简体"/>
          <w:b w:val="0"/>
          <w:bCs/>
          <w:i w:val="0"/>
          <w:caps w:val="0"/>
          <w:color w:val="333333"/>
          <w:spacing w:val="-17"/>
          <w:sz w:val="44"/>
          <w:szCs w:val="44"/>
          <w:shd w:val="clear" w:fill="FFFFFF"/>
          <w:lang w:val="en-US" w:eastAsia="zh-CN"/>
        </w:rPr>
        <w:t>年</w:t>
      </w:r>
      <w:r>
        <w:rPr>
          <w:rFonts w:hint="eastAsia" w:ascii="Times New Roman" w:hAnsi="Times New Roman" w:eastAsia="方正小标宋简体" w:cs="方正小标宋简体"/>
          <w:b w:val="0"/>
          <w:bCs/>
          <w:i w:val="0"/>
          <w:caps w:val="0"/>
          <w:color w:val="333333"/>
          <w:spacing w:val="-17"/>
          <w:sz w:val="44"/>
          <w:szCs w:val="44"/>
          <w:shd w:val="clear" w:fill="FFFFFF"/>
        </w:rPr>
        <w:t>政府信息公开工作</w:t>
      </w:r>
      <w:r>
        <w:rPr>
          <w:rFonts w:hint="eastAsia" w:ascii="Times New Roman" w:hAnsi="Times New Roman" w:eastAsia="方正小标宋简体" w:cs="方正小标宋简体"/>
          <w:b w:val="0"/>
          <w:bCs/>
          <w:i w:val="0"/>
          <w:caps w:val="0"/>
          <w:color w:val="333333"/>
          <w:spacing w:val="0"/>
          <w:sz w:val="44"/>
          <w:szCs w:val="44"/>
          <w:shd w:val="clear" w:fill="FFFFFF"/>
        </w:rPr>
        <w:t>年度报告</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right="0"/>
        <w:jc w:val="both"/>
        <w:textAlignment w:val="auto"/>
        <w:rPr>
          <w:rFonts w:hint="eastAsia" w:ascii="Times New Roman" w:hAnsi="Times New Roman" w:eastAsia="宋体" w:cs="宋体"/>
          <w:i w:val="0"/>
          <w:caps w:val="0"/>
          <w:color w:val="333333"/>
          <w:spacing w:val="0"/>
          <w:sz w:val="24"/>
          <w:szCs w:val="24"/>
        </w:rPr>
      </w:pP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Times New Roman" w:hAnsi="Times New Roman" w:eastAsia="宋体" w:cs="宋体"/>
          <w:i w:val="0"/>
          <w:caps w:val="0"/>
          <w:color w:val="0000FF"/>
          <w:spacing w:val="0"/>
          <w:kern w:val="2"/>
          <w:sz w:val="24"/>
          <w:szCs w:val="24"/>
          <w:shd w:val="clear" w:fill="FFFFFF"/>
          <w:lang w:val="en-US" w:eastAsia="zh-CN" w:bidi="ar-SA"/>
        </w:rPr>
      </w:pPr>
      <w:r>
        <w:rPr>
          <w:rFonts w:hint="eastAsia" w:ascii="Times New Roman" w:hAnsi="Times New Roman" w:eastAsia="仿宋_GB2312" w:cs="仿宋_GB2312"/>
          <w:i w:val="0"/>
          <w:caps w:val="0"/>
          <w:color w:val="000000" w:themeColor="text1"/>
          <w:spacing w:val="0"/>
          <w:sz w:val="32"/>
          <w:szCs w:val="32"/>
          <w:lang w:eastAsia="zh-CN"/>
          <w14:textFill>
            <w14:solidFill>
              <w14:schemeClr w14:val="tx1"/>
            </w14:solidFill>
          </w14:textFill>
        </w:rPr>
        <w:t>本年度报告中所列数据的统计期限自202</w:t>
      </w:r>
      <w:r>
        <w:rPr>
          <w:rFonts w:hint="eastAsia" w:ascii="Times New Roman" w:hAnsi="Times New Roman" w:eastAsia="仿宋_GB2312" w:cs="仿宋_GB2312"/>
          <w:i w:val="0"/>
          <w:caps w:val="0"/>
          <w:color w:val="000000" w:themeColor="text1"/>
          <w:spacing w:val="0"/>
          <w:sz w:val="32"/>
          <w:szCs w:val="32"/>
          <w:lang w:val="en-US" w:eastAsia="zh-CN"/>
          <w14:textFill>
            <w14:solidFill>
              <w14:schemeClr w14:val="tx1"/>
            </w14:solidFill>
          </w14:textFill>
        </w:rPr>
        <w:t>3</w:t>
      </w:r>
      <w:r>
        <w:rPr>
          <w:rFonts w:hint="eastAsia" w:ascii="Times New Roman" w:hAnsi="Times New Roman" w:eastAsia="仿宋_GB2312" w:cs="仿宋_GB2312"/>
          <w:i w:val="0"/>
          <w:caps w:val="0"/>
          <w:color w:val="000000" w:themeColor="text1"/>
          <w:spacing w:val="0"/>
          <w:sz w:val="32"/>
          <w:szCs w:val="32"/>
          <w:lang w:eastAsia="zh-CN"/>
          <w14:textFill>
            <w14:solidFill>
              <w14:schemeClr w14:val="tx1"/>
            </w14:solidFill>
          </w14:textFill>
        </w:rPr>
        <w:t>年1月1日起，至202</w:t>
      </w:r>
      <w:r>
        <w:rPr>
          <w:rFonts w:hint="eastAsia" w:ascii="Times New Roman" w:hAnsi="Times New Roman" w:eastAsia="仿宋_GB2312" w:cs="仿宋_GB2312"/>
          <w:i w:val="0"/>
          <w:caps w:val="0"/>
          <w:color w:val="000000" w:themeColor="text1"/>
          <w:spacing w:val="0"/>
          <w:sz w:val="32"/>
          <w:szCs w:val="32"/>
          <w:lang w:val="en-US" w:eastAsia="zh-CN"/>
          <w14:textFill>
            <w14:solidFill>
              <w14:schemeClr w14:val="tx1"/>
            </w14:solidFill>
          </w14:textFill>
        </w:rPr>
        <w:t>3</w:t>
      </w:r>
      <w:r>
        <w:rPr>
          <w:rFonts w:hint="eastAsia" w:ascii="Times New Roman" w:hAnsi="Times New Roman" w:eastAsia="仿宋_GB2312" w:cs="仿宋_GB2312"/>
          <w:i w:val="0"/>
          <w:caps w:val="0"/>
          <w:color w:val="000000" w:themeColor="text1"/>
          <w:spacing w:val="0"/>
          <w:sz w:val="32"/>
          <w:szCs w:val="32"/>
          <w:lang w:eastAsia="zh-CN"/>
          <w14:textFill>
            <w14:solidFill>
              <w14:schemeClr w14:val="tx1"/>
            </w14:solidFill>
          </w14:textFill>
        </w:rPr>
        <w:t>年12月31日止。如对报告内容有疑问，</w:t>
      </w:r>
      <w:r>
        <w:rPr>
          <w:rFonts w:hint="eastAsia" w:ascii="仿宋_GB2312" w:hAnsi="仿宋_GB2312" w:eastAsia="仿宋_GB2312" w:cs="仿宋_GB2312"/>
          <w:sz w:val="32"/>
          <w:szCs w:val="32"/>
          <w:shd w:val="clear" w:color="auto" w:fill="FFFFFF"/>
        </w:rPr>
        <w:t>请与张店区地方金融监督管理局联系（地址：张店区新村西路</w:t>
      </w:r>
      <w:r>
        <w:rPr>
          <w:rFonts w:hint="default" w:ascii="Times New Roman" w:hAnsi="Times New Roman" w:eastAsia="仿宋_GB2312" w:cs="Times New Roman"/>
          <w:sz w:val="32"/>
          <w:szCs w:val="32"/>
          <w:shd w:val="clear" w:color="auto" w:fill="FFFFFF"/>
        </w:rPr>
        <w:t>226</w:t>
      </w:r>
      <w:r>
        <w:rPr>
          <w:rFonts w:hint="eastAsia" w:ascii="仿宋_GB2312" w:hAnsi="仿宋_GB2312" w:eastAsia="仿宋_GB2312" w:cs="仿宋_GB2312"/>
          <w:sz w:val="32"/>
          <w:szCs w:val="32"/>
          <w:shd w:val="clear" w:color="auto" w:fill="FFFFFF"/>
        </w:rPr>
        <w:t>号区政务中心</w:t>
      </w:r>
      <w:r>
        <w:rPr>
          <w:rFonts w:hint="eastAsia" w:ascii="仿宋_GB2312" w:hAnsi="仿宋_GB2312" w:eastAsia="仿宋_GB2312" w:cs="仿宋_GB2312"/>
          <w:sz w:val="32"/>
          <w:szCs w:val="32"/>
          <w:shd w:val="clear" w:color="auto" w:fill="FFFFFF"/>
          <w:lang w:eastAsia="zh-CN"/>
        </w:rPr>
        <w:t>；</w:t>
      </w:r>
      <w:r>
        <w:rPr>
          <w:rFonts w:hint="eastAsia" w:ascii="仿宋_GB2312" w:hAnsi="仿宋_GB2312" w:eastAsia="仿宋_GB2312" w:cs="仿宋_GB2312"/>
          <w:sz w:val="32"/>
          <w:szCs w:val="32"/>
          <w:shd w:val="clear" w:color="auto" w:fill="FFFFFF"/>
        </w:rPr>
        <w:t>邮编:</w:t>
      </w:r>
      <w:r>
        <w:rPr>
          <w:rFonts w:hint="default" w:ascii="Times New Roman" w:hAnsi="Times New Roman" w:eastAsia="仿宋_GB2312" w:cs="Times New Roman"/>
          <w:sz w:val="32"/>
          <w:szCs w:val="32"/>
          <w:shd w:val="clear" w:color="auto" w:fill="FFFFFF"/>
        </w:rPr>
        <w:t>255020</w:t>
      </w:r>
      <w:r>
        <w:rPr>
          <w:rFonts w:hint="eastAsia" w:ascii="仿宋_GB2312" w:hAnsi="仿宋_GB2312" w:eastAsia="仿宋_GB2312" w:cs="仿宋_GB2312"/>
          <w:sz w:val="32"/>
          <w:szCs w:val="32"/>
          <w:shd w:val="clear" w:color="auto" w:fill="FFFFFF"/>
          <w:lang w:eastAsia="zh-CN"/>
        </w:rPr>
        <w:t>；</w:t>
      </w:r>
      <w:r>
        <w:rPr>
          <w:rFonts w:hint="eastAsia" w:ascii="仿宋_GB2312" w:hAnsi="仿宋_GB2312" w:eastAsia="仿宋_GB2312" w:cs="仿宋_GB2312"/>
          <w:sz w:val="32"/>
          <w:szCs w:val="32"/>
          <w:shd w:val="clear" w:color="auto" w:fill="FFFFFF"/>
        </w:rPr>
        <w:t>电话:</w:t>
      </w:r>
      <w:r>
        <w:rPr>
          <w:rFonts w:hint="default" w:ascii="Times New Roman" w:hAnsi="Times New Roman" w:eastAsia="仿宋_GB2312" w:cs="Times New Roman"/>
          <w:sz w:val="32"/>
          <w:szCs w:val="32"/>
          <w:shd w:val="clear" w:color="auto" w:fill="FFFFFF"/>
        </w:rPr>
        <w:t>0533-2861018</w:t>
      </w:r>
      <w:r>
        <w:rPr>
          <w:rFonts w:hint="eastAsia" w:ascii="Times New Roman" w:hAnsi="Times New Roman" w:eastAsia="仿宋_GB2312" w:cs="Times New Roman"/>
          <w:sz w:val="32"/>
          <w:szCs w:val="32"/>
          <w:shd w:val="clear" w:color="auto" w:fill="FFFFFF"/>
          <w:lang w:eastAsia="zh-CN"/>
        </w:rPr>
        <w:t>；</w:t>
      </w:r>
      <w:r>
        <w:rPr>
          <w:rFonts w:hint="eastAsia" w:ascii="Times New Roman" w:hAnsi="Times New Roman" w:eastAsia="仿宋_GB2312" w:cs="仿宋_GB2312"/>
          <w:i w:val="0"/>
          <w:caps w:val="0"/>
          <w:color w:val="000000" w:themeColor="text1"/>
          <w:spacing w:val="0"/>
          <w:sz w:val="32"/>
          <w:szCs w:val="32"/>
          <w:lang w:eastAsia="zh-CN"/>
          <w14:textFill>
            <w14:solidFill>
              <w14:schemeClr w14:val="tx1"/>
            </w14:solidFill>
          </w14:textFill>
        </w:rPr>
        <w:t>电子邮箱：</w:t>
      </w:r>
      <w:r>
        <w:rPr>
          <w:rFonts w:hint="default" w:ascii="Times New Roman" w:hAnsi="Times New Roman" w:eastAsia="宋体" w:cs="Times New Roman"/>
          <w:i w:val="0"/>
          <w:caps w:val="0"/>
          <w:color w:val="000000"/>
          <w:spacing w:val="0"/>
          <w:sz w:val="32"/>
          <w:szCs w:val="32"/>
          <w:shd w:val="clear" w:fill="FFFFFF"/>
        </w:rPr>
        <w:t>zdqjrbzhk@zb.shandong.cn</w:t>
      </w:r>
      <w:r>
        <w:rPr>
          <w:rFonts w:hint="eastAsia" w:ascii="仿宋_GB2312" w:hAnsi="仿宋_GB2312" w:eastAsia="仿宋_GB2312" w:cs="仿宋_GB2312"/>
          <w:sz w:val="32"/>
          <w:szCs w:val="32"/>
          <w:shd w:val="clear" w:color="auto" w:fill="FFFFFF"/>
        </w:rPr>
        <w:t>）</w:t>
      </w:r>
      <w:r>
        <w:rPr>
          <w:rFonts w:hint="eastAsia" w:ascii="仿宋_GB2312" w:hAnsi="仿宋_GB2312" w:eastAsia="仿宋_GB2312" w:cs="仿宋_GB2312"/>
          <w:sz w:val="32"/>
          <w:szCs w:val="32"/>
          <w:shd w:val="clear" w:color="auto" w:fill="FFFFFF"/>
          <w:lang w:eastAsia="zh-CN"/>
        </w:rPr>
        <w:t>。</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leftChars="0" w:right="0" w:rightChars="0" w:firstLine="420"/>
        <w:jc w:val="both"/>
        <w:textAlignment w:val="auto"/>
        <w:rPr>
          <w:rFonts w:hint="eastAsia" w:ascii="Times New Roman" w:hAnsi="Times New Roman" w:eastAsia="黑体" w:cs="黑体"/>
          <w:b w:val="0"/>
          <w:bCs/>
          <w:i w:val="0"/>
          <w:caps w:val="0"/>
          <w:color w:val="333333"/>
          <w:spacing w:val="0"/>
          <w:sz w:val="32"/>
          <w:szCs w:val="32"/>
        </w:rPr>
      </w:pPr>
      <w:r>
        <w:rPr>
          <w:rFonts w:hint="eastAsia" w:ascii="Times New Roman" w:hAnsi="Times New Roman" w:eastAsia="黑体" w:cs="黑体"/>
          <w:b w:val="0"/>
          <w:bCs/>
          <w:i w:val="0"/>
          <w:caps w:val="0"/>
          <w:color w:val="333333"/>
          <w:spacing w:val="0"/>
          <w:sz w:val="32"/>
          <w:szCs w:val="32"/>
          <w:shd w:val="clear" w:fill="FFFFFF"/>
        </w:rPr>
        <w:t>一、总体情况</w:t>
      </w:r>
    </w:p>
    <w:p>
      <w:pPr>
        <w:pStyle w:val="6"/>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Times New Roman" w:hAnsi="Times New Roman" w:eastAsia="仿宋_GB2312" w:cs="仿宋_GB2312"/>
          <w:sz w:val="32"/>
          <w:szCs w:val="32"/>
          <w:lang w:val="en-US" w:eastAsia="zh-CN"/>
        </w:rPr>
        <w:t>2023年，张店区地方金融监督管理局坚持以习近平新时代中国特色社会主义思想为指导，全面贯彻党的二十大精神，坚持以政府信息公开条例和全区政务公开工作要点为指导，紧紧围绕金融领域工作，做好常态化基础工作公开，</w:t>
      </w:r>
      <w:r>
        <w:rPr>
          <w:rFonts w:hint="eastAsia" w:ascii="仿宋_GB2312" w:hAnsi="仿宋_GB2312" w:eastAsia="仿宋_GB2312" w:cs="仿宋_GB2312"/>
          <w:sz w:val="32"/>
          <w:szCs w:val="32"/>
          <w:lang w:val="en-US" w:eastAsia="zh-CN"/>
        </w:rPr>
        <w:t>不断提升政务公开标准化、规范化水平，政务公开工作开展扎实有序。</w:t>
      </w:r>
    </w:p>
    <w:p>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left="0" w:leftChars="0" w:right="0" w:rightChars="0" w:firstLine="643" w:firstLineChars="200"/>
        <w:jc w:val="both"/>
        <w:textAlignment w:val="auto"/>
        <w:outlineLvl w:val="9"/>
        <w:rPr>
          <w:rFonts w:hint="eastAsia" w:ascii="Times New Roman" w:hAnsi="Times New Roman" w:eastAsia="仿宋_GB2312" w:cs="仿宋_GB2312"/>
          <w:color w:val="000000" w:themeColor="text1"/>
          <w:sz w:val="32"/>
          <w:szCs w:val="32"/>
          <w:lang w:eastAsia="zh-CN"/>
          <w14:textFill>
            <w14:solidFill>
              <w14:schemeClr w14:val="tx1"/>
            </w14:solidFill>
          </w14:textFill>
        </w:rPr>
      </w:pPr>
      <w:r>
        <w:rPr>
          <w:rFonts w:hint="eastAsia" w:ascii="Times New Roman" w:hAnsi="Times New Roman" w:eastAsia="仿宋_GB2312" w:cs="仿宋_GB2312"/>
          <w:b/>
          <w:bCs/>
          <w:color w:val="000000" w:themeColor="text1"/>
          <w:sz w:val="32"/>
          <w:szCs w:val="32"/>
          <w:lang w:val="en-US" w:eastAsia="zh-CN"/>
          <w14:textFill>
            <w14:solidFill>
              <w14:schemeClr w14:val="tx1"/>
            </w14:solidFill>
          </w14:textFill>
        </w:rPr>
        <w:t>（一）主动公开方面</w:t>
      </w:r>
    </w:p>
    <w:p>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Times New Roman" w:hAnsi="Times New Roman" w:eastAsia="仿宋_GB2312" w:cs="仿宋_GB2312"/>
          <w:color w:val="000000" w:themeColor="text1"/>
          <w:sz w:val="32"/>
          <w:szCs w:val="32"/>
          <w:lang w:val="en-US" w:eastAsia="zh-CN"/>
          <w14:textFill>
            <w14:solidFill>
              <w14:schemeClr w14:val="tx1"/>
            </w14:solidFill>
          </w14:textFill>
        </w:rPr>
      </w:pPr>
      <w:r>
        <w:rPr>
          <w:rFonts w:hint="eastAsia" w:ascii="Times New Roman" w:hAnsi="Times New Roman" w:eastAsia="仿宋_GB2312" w:cs="仿宋_GB2312"/>
          <w:color w:val="000000" w:themeColor="text1"/>
          <w:sz w:val="32"/>
          <w:szCs w:val="32"/>
          <w:lang w:eastAsia="zh-CN"/>
          <w14:textFill>
            <w14:solidFill>
              <w14:schemeClr w14:val="tx1"/>
            </w14:solidFill>
          </w14:textFill>
        </w:rPr>
        <w:t>202</w:t>
      </w:r>
      <w:r>
        <w:rPr>
          <w:rFonts w:hint="eastAsia" w:ascii="Times New Roman" w:hAnsi="Times New Roman" w:eastAsia="仿宋_GB2312" w:cs="仿宋_GB2312"/>
          <w:color w:val="000000" w:themeColor="text1"/>
          <w:sz w:val="32"/>
          <w:szCs w:val="32"/>
          <w:lang w:val="en-US" w:eastAsia="zh-CN"/>
          <w14:textFill>
            <w14:solidFill>
              <w14:schemeClr w14:val="tx1"/>
            </w14:solidFill>
          </w14:textFill>
        </w:rPr>
        <w:t>3</w:t>
      </w:r>
      <w:r>
        <w:rPr>
          <w:rFonts w:hint="eastAsia" w:ascii="Times New Roman" w:hAnsi="Times New Roman" w:eastAsia="仿宋_GB2312" w:cs="仿宋_GB2312"/>
          <w:color w:val="000000" w:themeColor="text1"/>
          <w:sz w:val="32"/>
          <w:szCs w:val="32"/>
          <w:lang w:eastAsia="zh-CN"/>
          <w14:textFill>
            <w14:solidFill>
              <w14:schemeClr w14:val="tx1"/>
            </w14:solidFill>
          </w14:textFill>
        </w:rPr>
        <w:t>年，我局门户网站和政务新媒体紧紧围绕中心工作，做好政务信息发布、政策宣传解读、</w:t>
      </w:r>
      <w:r>
        <w:rPr>
          <w:rFonts w:hint="eastAsia" w:ascii="Times New Roman" w:hAnsi="Times New Roman" w:eastAsia="仿宋_GB2312" w:cs="仿宋_GB2312"/>
          <w:color w:val="000000" w:themeColor="text1"/>
          <w:sz w:val="32"/>
          <w:szCs w:val="32"/>
          <w:lang w:val="en-US" w:eastAsia="zh-CN"/>
          <w14:textFill>
            <w14:solidFill>
              <w14:schemeClr w14:val="tx1"/>
            </w14:solidFill>
          </w14:textFill>
        </w:rPr>
        <w:t>金融运行</w:t>
      </w:r>
      <w:r>
        <w:rPr>
          <w:rFonts w:hint="eastAsia" w:ascii="Times New Roman" w:hAnsi="Times New Roman" w:eastAsia="仿宋_GB2312" w:cs="仿宋_GB2312"/>
          <w:color w:val="000000" w:themeColor="text1"/>
          <w:sz w:val="32"/>
          <w:szCs w:val="32"/>
          <w:lang w:eastAsia="zh-CN"/>
          <w14:textFill>
            <w14:solidFill>
              <w14:schemeClr w14:val="tx1"/>
            </w14:solidFill>
          </w14:textFill>
        </w:rPr>
        <w:t>等工作。</w:t>
      </w:r>
      <w:r>
        <w:rPr>
          <w:rFonts w:hint="eastAsia" w:ascii="Times New Roman" w:hAnsi="Times New Roman" w:eastAsia="仿宋_GB2312" w:cs="仿宋_GB2312"/>
          <w:color w:val="000000" w:themeColor="text1"/>
          <w:sz w:val="32"/>
          <w:szCs w:val="32"/>
          <w:lang w:val="en-US" w:eastAsia="zh-CN"/>
          <w14:textFill>
            <w14:solidFill>
              <w14:schemeClr w14:val="tx1"/>
            </w14:solidFill>
          </w14:textFill>
        </w:rPr>
        <w:t>政府</w:t>
      </w:r>
      <w:r>
        <w:rPr>
          <w:rFonts w:hint="eastAsia" w:ascii="Times New Roman" w:hAnsi="Times New Roman" w:eastAsia="仿宋_GB2312" w:cs="仿宋_GB2312"/>
          <w:color w:val="000000" w:themeColor="text1"/>
          <w:sz w:val="32"/>
          <w:szCs w:val="32"/>
          <w:lang w:eastAsia="zh-CN"/>
          <w14:textFill>
            <w14:solidFill>
              <w14:schemeClr w14:val="tx1"/>
            </w14:solidFill>
          </w14:textFill>
        </w:rPr>
        <w:t>网站全年累计</w:t>
      </w:r>
      <w:r>
        <w:rPr>
          <w:rFonts w:hint="eastAsia" w:ascii="Times New Roman" w:hAnsi="Times New Roman" w:eastAsia="仿宋_GB2312" w:cs="仿宋_GB2312"/>
          <w:color w:val="000000" w:themeColor="text1"/>
          <w:sz w:val="32"/>
          <w:szCs w:val="32"/>
          <w:lang w:val="en-US" w:eastAsia="zh-CN"/>
          <w14:textFill>
            <w14:solidFill>
              <w14:schemeClr w14:val="tx1"/>
            </w14:solidFill>
          </w14:textFill>
        </w:rPr>
        <w:t>公开信息93</w:t>
      </w:r>
      <w:r>
        <w:rPr>
          <w:rFonts w:hint="eastAsia" w:ascii="Times New Roman" w:hAnsi="Times New Roman" w:eastAsia="仿宋_GB2312" w:cs="仿宋_GB2312"/>
          <w:color w:val="000000" w:themeColor="text1"/>
          <w:sz w:val="32"/>
          <w:szCs w:val="32"/>
          <w:lang w:eastAsia="zh-CN"/>
          <w14:textFill>
            <w14:solidFill>
              <w14:schemeClr w14:val="tx1"/>
            </w14:solidFill>
          </w14:textFill>
        </w:rPr>
        <w:t>条，动态调整政府信息公开指南、</w:t>
      </w:r>
      <w:r>
        <w:rPr>
          <w:rFonts w:hint="eastAsia" w:ascii="Times New Roman" w:hAnsi="Times New Roman" w:eastAsia="仿宋_GB2312" w:cs="仿宋_GB2312"/>
          <w:color w:val="000000" w:themeColor="text1"/>
          <w:sz w:val="32"/>
          <w:szCs w:val="32"/>
          <w:lang w:val="en-US" w:eastAsia="zh-CN"/>
          <w14:textFill>
            <w14:solidFill>
              <w14:schemeClr w14:val="tx1"/>
            </w14:solidFill>
          </w14:textFill>
        </w:rPr>
        <w:t>领导信息</w:t>
      </w:r>
      <w:r>
        <w:rPr>
          <w:rFonts w:hint="eastAsia" w:ascii="Times New Roman" w:hAnsi="Times New Roman" w:eastAsia="仿宋_GB2312" w:cs="仿宋_GB2312"/>
          <w:color w:val="000000" w:themeColor="text1"/>
          <w:sz w:val="32"/>
          <w:szCs w:val="32"/>
          <w:lang w:eastAsia="zh-CN"/>
          <w14:textFill>
            <w14:solidFill>
              <w14:schemeClr w14:val="tx1"/>
            </w14:solidFill>
          </w14:textFill>
        </w:rPr>
        <w:t>；</w:t>
      </w:r>
      <w:r>
        <w:rPr>
          <w:rFonts w:hint="eastAsia" w:ascii="Times New Roman" w:hAnsi="Times New Roman" w:eastAsia="仿宋_GB2312" w:cs="仿宋_GB2312"/>
          <w:color w:val="000000" w:themeColor="text1"/>
          <w:sz w:val="32"/>
          <w:szCs w:val="32"/>
          <w:lang w:val="en-US" w:eastAsia="zh-CN"/>
          <w14:textFill>
            <w14:solidFill>
              <w14:schemeClr w14:val="tx1"/>
            </w14:solidFill>
          </w14:textFill>
        </w:rPr>
        <w:t>按月度发布</w:t>
      </w:r>
      <w:r>
        <w:rPr>
          <w:rFonts w:hint="eastAsia" w:ascii="Times New Roman" w:hAnsi="Times New Roman" w:eastAsia="仿宋_GB2312" w:cs="仿宋_GB2312"/>
          <w:color w:val="000000" w:themeColor="text1"/>
          <w:sz w:val="32"/>
          <w:szCs w:val="32"/>
          <w:lang w:eastAsia="zh-CN"/>
          <w14:textFill>
            <w14:solidFill>
              <w14:schemeClr w14:val="tx1"/>
            </w14:solidFill>
          </w14:textFill>
        </w:rPr>
        <w:t>金融</w:t>
      </w:r>
      <w:r>
        <w:rPr>
          <w:rFonts w:hint="eastAsia" w:ascii="Times New Roman" w:hAnsi="Times New Roman" w:eastAsia="仿宋_GB2312" w:cs="仿宋_GB2312"/>
          <w:color w:val="000000" w:themeColor="text1"/>
          <w:sz w:val="32"/>
          <w:szCs w:val="32"/>
          <w:lang w:val="en-US" w:eastAsia="zh-CN"/>
          <w14:textFill>
            <w14:solidFill>
              <w14:schemeClr w14:val="tx1"/>
            </w14:solidFill>
          </w14:textFill>
        </w:rPr>
        <w:t>业</w:t>
      </w:r>
      <w:r>
        <w:rPr>
          <w:rFonts w:hint="eastAsia" w:ascii="Times New Roman" w:hAnsi="Times New Roman" w:eastAsia="仿宋_GB2312" w:cs="仿宋_GB2312"/>
          <w:color w:val="000000" w:themeColor="text1"/>
          <w:sz w:val="32"/>
          <w:szCs w:val="32"/>
          <w:lang w:eastAsia="zh-CN"/>
          <w14:textFill>
            <w14:solidFill>
              <w14:schemeClr w14:val="tx1"/>
            </w14:solidFill>
          </w14:textFill>
        </w:rPr>
        <w:t>运行情况；通过文字解读、媒体图解、</w:t>
      </w:r>
      <w:r>
        <w:rPr>
          <w:rFonts w:hint="eastAsia" w:ascii="Times New Roman" w:hAnsi="Times New Roman" w:eastAsia="仿宋_GB2312" w:cs="仿宋_GB2312"/>
          <w:color w:val="000000" w:themeColor="text1"/>
          <w:sz w:val="32"/>
          <w:szCs w:val="32"/>
          <w:lang w:val="en-US" w:eastAsia="zh-CN"/>
          <w14:textFill>
            <w14:solidFill>
              <w14:schemeClr w14:val="tx1"/>
            </w14:solidFill>
          </w14:textFill>
        </w:rPr>
        <w:t>领导干部解读</w:t>
      </w:r>
      <w:r>
        <w:rPr>
          <w:rFonts w:hint="eastAsia" w:ascii="Times New Roman" w:hAnsi="Times New Roman" w:eastAsia="仿宋_GB2312" w:cs="仿宋_GB2312"/>
          <w:color w:val="000000" w:themeColor="text1"/>
          <w:sz w:val="32"/>
          <w:szCs w:val="32"/>
          <w:lang w:eastAsia="zh-CN"/>
          <w14:textFill>
            <w14:solidFill>
              <w14:schemeClr w14:val="tx1"/>
            </w14:solidFill>
          </w14:textFill>
        </w:rPr>
        <w:t>等多种形式对发布的政策进行解读；发布</w:t>
      </w:r>
      <w:r>
        <w:rPr>
          <w:rFonts w:hint="eastAsia" w:ascii="Times New Roman" w:hAnsi="Times New Roman" w:eastAsia="仿宋_GB2312" w:cs="仿宋_GB2312"/>
          <w:color w:val="000000" w:themeColor="text1"/>
          <w:sz w:val="32"/>
          <w:szCs w:val="32"/>
          <w:lang w:val="en-US" w:eastAsia="zh-CN"/>
          <w14:textFill>
            <w14:solidFill>
              <w14:schemeClr w14:val="tx1"/>
            </w14:solidFill>
          </w14:textFill>
        </w:rPr>
        <w:t>警示通告</w:t>
      </w:r>
      <w:r>
        <w:rPr>
          <w:rFonts w:hint="eastAsia" w:ascii="Times New Roman" w:hAnsi="Times New Roman" w:eastAsia="仿宋_GB2312" w:cs="仿宋_GB2312"/>
          <w:color w:val="000000" w:themeColor="text1"/>
          <w:sz w:val="32"/>
          <w:szCs w:val="32"/>
          <w:lang w:eastAsia="zh-CN"/>
          <w14:textFill>
            <w14:solidFill>
              <w14:schemeClr w14:val="tx1"/>
            </w14:solidFill>
          </w14:textFill>
        </w:rPr>
        <w:t>风险提示信息</w:t>
      </w:r>
      <w:r>
        <w:rPr>
          <w:rFonts w:hint="eastAsia" w:ascii="Times New Roman" w:hAnsi="Times New Roman" w:eastAsia="仿宋_GB2312" w:cs="仿宋_GB2312"/>
          <w:color w:val="000000" w:themeColor="text1"/>
          <w:sz w:val="32"/>
          <w:szCs w:val="32"/>
          <w:lang w:val="en-US" w:eastAsia="zh-CN"/>
          <w14:textFill>
            <w14:solidFill>
              <w14:schemeClr w14:val="tx1"/>
            </w14:solidFill>
          </w14:textFill>
        </w:rPr>
        <w:t>4</w:t>
      </w:r>
      <w:r>
        <w:rPr>
          <w:rFonts w:hint="eastAsia" w:ascii="Times New Roman" w:hAnsi="Times New Roman" w:eastAsia="仿宋_GB2312" w:cs="仿宋_GB2312"/>
          <w:color w:val="000000" w:themeColor="text1"/>
          <w:sz w:val="32"/>
          <w:szCs w:val="32"/>
          <w:lang w:eastAsia="zh-CN"/>
          <w14:textFill>
            <w14:solidFill>
              <w14:schemeClr w14:val="tx1"/>
            </w14:solidFill>
          </w14:textFill>
        </w:rPr>
        <w:t>条；围绕“守住钱袋子、护住幸福家”，与新闻媒体叠频共振，线上线下扎实开展防范非法集资宣传教育活动；公开202</w:t>
      </w:r>
      <w:r>
        <w:rPr>
          <w:rFonts w:hint="eastAsia" w:ascii="Times New Roman" w:hAnsi="Times New Roman" w:eastAsia="仿宋_GB2312" w:cs="仿宋_GB2312"/>
          <w:color w:val="000000" w:themeColor="text1"/>
          <w:sz w:val="32"/>
          <w:szCs w:val="32"/>
          <w:lang w:val="en-US" w:eastAsia="zh-CN"/>
          <w14:textFill>
            <w14:solidFill>
              <w14:schemeClr w14:val="tx1"/>
            </w14:solidFill>
          </w14:textFill>
        </w:rPr>
        <w:t>3</w:t>
      </w:r>
      <w:r>
        <w:rPr>
          <w:rFonts w:hint="eastAsia" w:ascii="Times New Roman" w:hAnsi="Times New Roman" w:eastAsia="仿宋_GB2312" w:cs="仿宋_GB2312"/>
          <w:color w:val="000000" w:themeColor="text1"/>
          <w:sz w:val="32"/>
          <w:szCs w:val="32"/>
          <w:lang w:eastAsia="zh-CN"/>
          <w14:textFill>
            <w14:solidFill>
              <w14:schemeClr w14:val="tx1"/>
            </w14:solidFill>
          </w14:textFill>
        </w:rPr>
        <w:t>年度</w:t>
      </w:r>
      <w:r>
        <w:rPr>
          <w:rFonts w:hint="eastAsia" w:ascii="Times New Roman" w:hAnsi="Times New Roman" w:eastAsia="仿宋_GB2312" w:cs="仿宋_GB2312"/>
          <w:color w:val="000000" w:themeColor="text1"/>
          <w:sz w:val="32"/>
          <w:szCs w:val="32"/>
          <w:lang w:val="en-US" w:eastAsia="zh-CN"/>
          <w14:textFill>
            <w14:solidFill>
              <w14:schemeClr w14:val="tx1"/>
            </w14:solidFill>
          </w14:textFill>
        </w:rPr>
        <w:t>人大代表建议、政协提案办理情况结果。</w:t>
      </w:r>
    </w:p>
    <w:p>
      <w:pPr>
        <w:keepNext w:val="0"/>
        <w:keepLines w:val="0"/>
        <w:pageBreakBefore w:val="0"/>
        <w:widowControl w:val="0"/>
        <w:kinsoku/>
        <w:wordWrap w:val="0"/>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Times New Roman" w:hAnsi="Times New Roman" w:eastAsia="仿宋_GB2312" w:cs="仿宋_GB2312"/>
          <w:b/>
          <w:bCs/>
          <w:color w:val="000000" w:themeColor="text1"/>
          <w:sz w:val="32"/>
          <w:szCs w:val="32"/>
          <w:lang w:val="en-US" w:eastAsia="zh-CN"/>
          <w14:textFill>
            <w14:solidFill>
              <w14:schemeClr w14:val="tx1"/>
            </w14:solidFill>
          </w14:textFill>
        </w:rPr>
      </w:pPr>
      <w:r>
        <w:rPr>
          <w:rFonts w:ascii="楷体" w:hAnsi="楷体" w:eastAsia="楷体" w:cs="楷体"/>
          <w:sz w:val="32"/>
          <w:szCs w:val="32"/>
        </w:rPr>
        <w:drawing>
          <wp:anchor distT="0" distB="0" distL="114300" distR="114300" simplePos="0" relativeHeight="251661312" behindDoc="0" locked="0" layoutInCell="1" allowOverlap="1">
            <wp:simplePos x="0" y="0"/>
            <wp:positionH relativeFrom="column">
              <wp:posOffset>186690</wp:posOffset>
            </wp:positionH>
            <wp:positionV relativeFrom="paragraph">
              <wp:posOffset>139065</wp:posOffset>
            </wp:positionV>
            <wp:extent cx="5080000" cy="3810000"/>
            <wp:effectExtent l="4445" t="4445" r="20955" b="14605"/>
            <wp:wrapSquare wrapText="bothSides"/>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anchor>
        </w:drawing>
      </w:r>
      <w:r>
        <w:rPr>
          <w:rFonts w:hint="eastAsia" w:ascii="Times New Roman" w:hAnsi="Times New Roman" w:eastAsia="仿宋_GB2312" w:cs="仿宋_GB2312"/>
          <w:b/>
          <w:bCs/>
          <w:color w:val="000000" w:themeColor="text1"/>
          <w:sz w:val="32"/>
          <w:szCs w:val="32"/>
          <w:lang w:val="en-US" w:eastAsia="zh-CN"/>
          <w14:textFill>
            <w14:solidFill>
              <w14:schemeClr w14:val="tx1"/>
            </w14:solidFill>
          </w14:textFill>
        </w:rPr>
        <w:t>（二）依申请公开工作方面</w:t>
      </w:r>
    </w:p>
    <w:p>
      <w:pPr>
        <w:keepNext w:val="0"/>
        <w:keepLines w:val="0"/>
        <w:pageBreakBefore w:val="0"/>
        <w:widowControl w:val="0"/>
        <w:kinsoku/>
        <w:wordWrap w:val="0"/>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Times New Roman" w:hAnsi="Times New Roman" w:eastAsia="仿宋_GB2312" w:cs="仿宋_GB2312"/>
          <w:color w:val="000000" w:themeColor="text1"/>
          <w:sz w:val="32"/>
          <w:szCs w:val="32"/>
          <w:lang w:eastAsia="zh-CN"/>
          <w14:textFill>
            <w14:solidFill>
              <w14:schemeClr w14:val="tx1"/>
            </w14:solidFill>
          </w14:textFill>
        </w:rPr>
      </w:pPr>
      <w:r>
        <w:rPr>
          <w:rFonts w:hint="eastAsia" w:ascii="Times New Roman" w:hAnsi="Times New Roman" w:eastAsia="仿宋_GB2312" w:cs="仿宋_GB2312"/>
          <w:color w:val="000000" w:themeColor="text1"/>
          <w:sz w:val="32"/>
          <w:szCs w:val="32"/>
          <w:lang w:eastAsia="zh-CN"/>
          <w14:textFill>
            <w14:solidFill>
              <w14:schemeClr w14:val="tx1"/>
            </w14:solidFill>
          </w14:textFill>
        </w:rPr>
        <w:t>本年度未收到依申请公开政府信息，与往年相比数量无增减变化。</w:t>
      </w:r>
    </w:p>
    <w:p>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left="0" w:leftChars="0" w:right="0" w:rightChars="0" w:firstLine="643" w:firstLineChars="200"/>
        <w:jc w:val="both"/>
        <w:textAlignment w:val="auto"/>
        <w:outlineLvl w:val="9"/>
        <w:rPr>
          <w:rFonts w:hint="eastAsia" w:ascii="仿宋_GB2312" w:hAnsi="仿宋_GB2312" w:eastAsia="仿宋_GB2312" w:cs="仿宋_GB2312"/>
          <w:sz w:val="32"/>
          <w:szCs w:val="32"/>
          <w:shd w:val="clear" w:color="auto" w:fill="FFFFFF"/>
        </w:rPr>
      </w:pPr>
      <w:r>
        <w:rPr>
          <w:rFonts w:hint="eastAsia" w:ascii="Times New Roman" w:hAnsi="Times New Roman" w:eastAsia="仿宋_GB2312" w:cs="仿宋_GB2312"/>
          <w:b/>
          <w:bCs/>
          <w:color w:val="000000" w:themeColor="text1"/>
          <w:sz w:val="32"/>
          <w:szCs w:val="32"/>
          <w:lang w:val="en-US" w:eastAsia="zh-CN"/>
          <w14:textFill>
            <w14:solidFill>
              <w14:schemeClr w14:val="tx1"/>
            </w14:solidFill>
          </w14:textFill>
        </w:rPr>
        <w:t>（三）政府信息管理方面</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afterLines="0"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shd w:val="clear" w:color="auto" w:fill="FFFFFF"/>
        </w:rPr>
      </w:pPr>
      <w:r>
        <w:rPr>
          <w:rFonts w:hint="eastAsia" w:ascii="仿宋_GB2312" w:hAnsi="仿宋_GB2312" w:eastAsia="仿宋_GB2312" w:cs="仿宋_GB2312"/>
          <w:sz w:val="32"/>
          <w:szCs w:val="32"/>
          <w:shd w:val="clear" w:color="auto" w:fill="FFFFFF"/>
        </w:rPr>
        <w:t>根据政府信息主动公开目录，规范信息发布内容</w:t>
      </w:r>
      <w:r>
        <w:rPr>
          <w:rFonts w:hint="eastAsia" w:ascii="仿宋_GB2312" w:hAnsi="仿宋_GB2312" w:eastAsia="仿宋_GB2312" w:cs="仿宋_GB2312"/>
          <w:sz w:val="32"/>
          <w:szCs w:val="32"/>
          <w:shd w:val="clear" w:color="auto" w:fill="FFFFFF"/>
          <w:lang w:eastAsia="zh-CN"/>
        </w:rPr>
        <w:t>，</w:t>
      </w:r>
      <w:r>
        <w:rPr>
          <w:rFonts w:hint="eastAsia" w:ascii="仿宋_GB2312" w:hAnsi="仿宋_GB2312" w:eastAsia="仿宋_GB2312" w:cs="仿宋_GB2312"/>
          <w:sz w:val="32"/>
          <w:szCs w:val="32"/>
          <w:shd w:val="clear" w:color="auto" w:fill="FFFFFF"/>
        </w:rPr>
        <w:t>完善信息采集、整理、审核、发布、巡检等流程制度</w:t>
      </w:r>
      <w:r>
        <w:rPr>
          <w:rFonts w:hint="eastAsia" w:ascii="仿宋_GB2312" w:hAnsi="仿宋_GB2312" w:eastAsia="仿宋_GB2312" w:cs="仿宋_GB2312"/>
          <w:sz w:val="32"/>
          <w:szCs w:val="32"/>
          <w:shd w:val="clear" w:color="auto" w:fill="FFFFFF"/>
          <w:lang w:eastAsia="zh-CN"/>
        </w:rPr>
        <w:t>，</w:t>
      </w:r>
      <w:r>
        <w:rPr>
          <w:rFonts w:hint="eastAsia" w:ascii="仿宋_GB2312" w:hAnsi="仿宋_GB2312" w:eastAsia="仿宋_GB2312" w:cs="仿宋_GB2312"/>
          <w:sz w:val="32"/>
          <w:szCs w:val="32"/>
          <w:shd w:val="clear" w:color="auto" w:fill="FFFFFF"/>
        </w:rPr>
        <w:t>定期检查维护相关栏目信息</w:t>
      </w:r>
      <w:r>
        <w:rPr>
          <w:rFonts w:hint="eastAsia" w:ascii="仿宋_GB2312" w:hAnsi="仿宋_GB2312" w:eastAsia="仿宋_GB2312" w:cs="仿宋_GB2312"/>
          <w:sz w:val="32"/>
          <w:szCs w:val="32"/>
          <w:shd w:val="clear" w:color="auto" w:fill="FFFFFF"/>
          <w:lang w:eastAsia="zh-CN"/>
        </w:rPr>
        <w:t>，</w:t>
      </w:r>
      <w:r>
        <w:rPr>
          <w:rFonts w:hint="eastAsia" w:ascii="仿宋_GB2312" w:hAnsi="仿宋_GB2312" w:eastAsia="仿宋_GB2312" w:cs="仿宋_GB2312"/>
          <w:sz w:val="32"/>
          <w:szCs w:val="32"/>
          <w:shd w:val="clear" w:color="auto" w:fill="FFFFFF"/>
        </w:rPr>
        <w:t>确保信息公开稳步落实。</w:t>
      </w:r>
      <w:r>
        <w:rPr>
          <w:rFonts w:hint="eastAsia" w:ascii="仿宋_GB2312" w:hAnsi="仿宋_GB2312" w:eastAsia="仿宋_GB2312" w:cs="仿宋_GB2312"/>
          <w:sz w:val="32"/>
          <w:szCs w:val="32"/>
          <w:shd w:val="clear" w:color="auto" w:fill="FFFFFF"/>
          <w:lang w:val="en-US" w:eastAsia="zh-CN"/>
        </w:rPr>
        <w:t>及时做好规范性文件梳理，本年度</w:t>
      </w:r>
      <w:r>
        <w:rPr>
          <w:rFonts w:hint="eastAsia" w:ascii="仿宋_GB2312" w:hAnsi="仿宋_GB2312" w:eastAsia="仿宋_GB2312" w:cs="仿宋_GB2312"/>
          <w:sz w:val="32"/>
          <w:szCs w:val="32"/>
          <w:shd w:val="clear" w:color="auto" w:fill="FFFFFF"/>
        </w:rPr>
        <w:t>通过门户网站专栏公开规范性文件</w:t>
      </w:r>
      <w:r>
        <w:rPr>
          <w:rFonts w:hint="default" w:ascii="Times New Roman" w:hAnsi="Times New Roman" w:eastAsia="仿宋_GB2312" w:cs="Times New Roman"/>
          <w:sz w:val="32"/>
          <w:szCs w:val="32"/>
          <w:shd w:val="clear" w:color="auto" w:fill="FFFFFF"/>
        </w:rPr>
        <w:t>1</w:t>
      </w:r>
      <w:r>
        <w:rPr>
          <w:rFonts w:hint="eastAsia" w:ascii="仿宋_GB2312" w:hAnsi="仿宋_GB2312" w:eastAsia="仿宋_GB2312" w:cs="仿宋_GB2312"/>
          <w:sz w:val="32"/>
          <w:szCs w:val="32"/>
          <w:shd w:val="clear" w:color="auto" w:fill="FFFFFF"/>
        </w:rPr>
        <w:t>件</w:t>
      </w:r>
      <w:r>
        <w:rPr>
          <w:rFonts w:hint="eastAsia" w:ascii="仿宋_GB2312" w:hAnsi="仿宋_GB2312" w:eastAsia="仿宋_GB2312" w:cs="仿宋_GB2312"/>
          <w:sz w:val="32"/>
          <w:szCs w:val="32"/>
          <w:shd w:val="clear" w:color="auto" w:fill="FFFFFF"/>
          <w:lang w:eastAsia="zh-CN"/>
        </w:rPr>
        <w:t>，</w:t>
      </w:r>
      <w:r>
        <w:rPr>
          <w:rFonts w:hint="eastAsia" w:ascii="仿宋_GB2312" w:hAnsi="仿宋_GB2312" w:eastAsia="仿宋_GB2312" w:cs="仿宋_GB2312"/>
          <w:sz w:val="32"/>
          <w:szCs w:val="32"/>
          <w:shd w:val="clear" w:color="auto" w:fill="FFFFFF"/>
          <w:lang w:val="en-US" w:eastAsia="zh-CN"/>
        </w:rPr>
        <w:t>因出台新的办法，</w:t>
      </w:r>
      <w:r>
        <w:rPr>
          <w:rFonts w:hint="default" w:ascii="Times New Roman" w:hAnsi="Times New Roman" w:eastAsia="仿宋_GB2312" w:cs="Times New Roman"/>
          <w:sz w:val="32"/>
          <w:szCs w:val="32"/>
          <w:shd w:val="clear" w:color="auto" w:fill="FFFFFF"/>
          <w:lang w:val="en-US" w:eastAsia="zh-CN"/>
        </w:rPr>
        <w:t>2020</w:t>
      </w:r>
      <w:r>
        <w:rPr>
          <w:rFonts w:hint="eastAsia" w:ascii="仿宋_GB2312" w:hAnsi="仿宋_GB2312" w:eastAsia="仿宋_GB2312" w:cs="仿宋_GB2312"/>
          <w:sz w:val="32"/>
          <w:szCs w:val="32"/>
          <w:shd w:val="clear" w:color="auto" w:fill="FFFFFF"/>
          <w:lang w:val="en-US" w:eastAsia="zh-CN"/>
        </w:rPr>
        <w:t>年出台的办法同时废止，行政</w:t>
      </w:r>
      <w:r>
        <w:rPr>
          <w:rFonts w:hint="eastAsia" w:ascii="仿宋_GB2312" w:hAnsi="仿宋_GB2312" w:eastAsia="仿宋_GB2312" w:cs="仿宋_GB2312"/>
          <w:sz w:val="32"/>
          <w:szCs w:val="32"/>
          <w:shd w:val="clear" w:color="auto" w:fill="FFFFFF"/>
        </w:rPr>
        <w:t>规范性文件</w:t>
      </w:r>
      <w:r>
        <w:rPr>
          <w:rFonts w:hint="eastAsia" w:ascii="仿宋_GB2312" w:hAnsi="仿宋_GB2312" w:eastAsia="仿宋_GB2312" w:cs="仿宋_GB2312"/>
          <w:sz w:val="32"/>
          <w:szCs w:val="32"/>
          <w:shd w:val="clear" w:color="auto" w:fill="FFFFFF"/>
          <w:lang w:val="en-US" w:eastAsia="zh-CN"/>
        </w:rPr>
        <w:t>清理结果已在</w:t>
      </w:r>
      <w:r>
        <w:rPr>
          <w:rFonts w:hint="eastAsia" w:ascii="仿宋_GB2312" w:hAnsi="仿宋_GB2312" w:eastAsia="仿宋_GB2312" w:cs="仿宋_GB2312"/>
          <w:sz w:val="32"/>
          <w:szCs w:val="32"/>
          <w:shd w:val="clear" w:color="auto" w:fill="FFFFFF"/>
        </w:rPr>
        <w:t>局门户网站公示。依法</w:t>
      </w:r>
      <w:r>
        <w:rPr>
          <w:rFonts w:hint="eastAsia" w:ascii="仿宋_GB2312" w:hAnsi="仿宋_GB2312" w:eastAsia="仿宋_GB2312" w:cs="仿宋_GB2312"/>
          <w:sz w:val="32"/>
          <w:szCs w:val="32"/>
          <w:shd w:val="clear" w:color="auto" w:fill="FFFFFF"/>
          <w:lang w:val="en-US" w:eastAsia="zh-CN"/>
        </w:rPr>
        <w:t>依规</w:t>
      </w:r>
      <w:r>
        <w:rPr>
          <w:rFonts w:hint="eastAsia" w:ascii="仿宋_GB2312" w:hAnsi="仿宋_GB2312" w:eastAsia="仿宋_GB2312" w:cs="仿宋_GB2312"/>
          <w:sz w:val="32"/>
          <w:szCs w:val="32"/>
          <w:shd w:val="clear" w:color="auto" w:fill="FFFFFF"/>
        </w:rPr>
        <w:t>开展政府信息公开工作，严格落实保密工作制度</w:t>
      </w:r>
      <w:r>
        <w:rPr>
          <w:rFonts w:hint="eastAsia" w:ascii="仿宋_GB2312" w:hAnsi="仿宋_GB2312" w:eastAsia="仿宋_GB2312" w:cs="仿宋_GB2312"/>
          <w:sz w:val="32"/>
          <w:szCs w:val="32"/>
          <w:shd w:val="clear" w:color="auto" w:fill="FFFFFF"/>
          <w:lang w:eastAsia="zh-CN"/>
        </w:rPr>
        <w:t>，</w:t>
      </w:r>
      <w:r>
        <w:rPr>
          <w:rFonts w:hint="eastAsia" w:ascii="仿宋_GB2312" w:hAnsi="仿宋_GB2312" w:eastAsia="仿宋_GB2312" w:cs="仿宋_GB2312"/>
          <w:sz w:val="32"/>
          <w:szCs w:val="32"/>
          <w:shd w:val="clear" w:color="auto" w:fill="FFFFFF"/>
        </w:rPr>
        <w:t>对公开发布的信息做好保密审查</w:t>
      </w:r>
      <w:r>
        <w:rPr>
          <w:rFonts w:hint="eastAsia" w:ascii="仿宋_GB2312" w:hAnsi="仿宋_GB2312" w:eastAsia="仿宋_GB2312" w:cs="仿宋_GB2312"/>
          <w:sz w:val="32"/>
          <w:szCs w:val="32"/>
          <w:shd w:val="clear" w:color="auto" w:fill="FFFFFF"/>
          <w:lang w:eastAsia="zh-CN"/>
        </w:rPr>
        <w:t>，杜绝发生失泄密问题</w:t>
      </w:r>
      <w:r>
        <w:rPr>
          <w:rFonts w:hint="eastAsia" w:ascii="仿宋_GB2312" w:hAnsi="仿宋_GB2312" w:eastAsia="仿宋_GB2312" w:cs="仿宋_GB2312"/>
          <w:sz w:val="32"/>
          <w:szCs w:val="32"/>
          <w:shd w:val="clear" w:color="auto" w:fill="FFFFFF"/>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left="0" w:leftChars="0" w:right="0" w:rightChars="0" w:firstLine="643" w:firstLineChars="200"/>
        <w:jc w:val="both"/>
        <w:textAlignment w:val="auto"/>
        <w:outlineLvl w:val="9"/>
        <w:rPr>
          <w:rFonts w:hint="eastAsia" w:ascii="Times New Roman" w:hAnsi="Times New Roman" w:eastAsia="仿宋_GB2312" w:cs="仿宋_GB2312"/>
          <w:color w:val="000000" w:themeColor="text1"/>
          <w:sz w:val="32"/>
          <w:szCs w:val="32"/>
          <w:lang w:eastAsia="zh-CN"/>
          <w14:textFill>
            <w14:solidFill>
              <w14:schemeClr w14:val="tx1"/>
            </w14:solidFill>
          </w14:textFill>
        </w:rPr>
      </w:pPr>
      <w:r>
        <w:rPr>
          <w:rFonts w:hint="eastAsia" w:ascii="Times New Roman" w:hAnsi="Times New Roman" w:eastAsia="仿宋_GB2312" w:cs="仿宋_GB2312"/>
          <w:b/>
          <w:bCs/>
          <w:color w:val="000000" w:themeColor="text1"/>
          <w:sz w:val="32"/>
          <w:szCs w:val="32"/>
          <w:lang w:val="en-US" w:eastAsia="zh-CN"/>
          <w14:textFill>
            <w14:solidFill>
              <w14:schemeClr w14:val="tx1"/>
            </w14:solidFill>
          </w14:textFill>
        </w:rPr>
        <w:t>（四）政府信息公开平台建设方面</w:t>
      </w:r>
    </w:p>
    <w:p>
      <w:pPr>
        <w:pStyle w:val="6"/>
        <w:keepNext w:val="0"/>
        <w:keepLines w:val="0"/>
        <w:pageBreakBefore w:val="0"/>
        <w:widowControl/>
        <w:shd w:val="clear" w:color="auto" w:fill="FFFFFF"/>
        <w:kinsoku/>
        <w:wordWrap/>
        <w:overflowPunct/>
        <w:topLinePunct w:val="0"/>
        <w:autoSpaceDE w:val="0"/>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lang w:eastAsia="zh-CN"/>
        </w:rPr>
      </w:pPr>
      <w:r>
        <w:rPr>
          <w:rFonts w:hint="eastAsia" w:ascii="仿宋_GB2312" w:hAnsi="仿宋_GB2312" w:eastAsia="仿宋_GB2312" w:cs="仿宋_GB2312"/>
          <w:sz w:val="32"/>
          <w:szCs w:val="32"/>
          <w:shd w:val="clear" w:color="auto" w:fill="FFFFFF"/>
        </w:rPr>
        <w:t>完善政务公开平台建设</w:t>
      </w:r>
      <w:r>
        <w:rPr>
          <w:rFonts w:hint="eastAsia" w:ascii="仿宋_GB2312" w:hAnsi="仿宋_GB2312" w:eastAsia="仿宋_GB2312" w:cs="仿宋_GB2312"/>
          <w:sz w:val="32"/>
          <w:szCs w:val="32"/>
          <w:shd w:val="clear" w:color="auto" w:fill="FFFFFF"/>
          <w:lang w:eastAsia="zh-CN"/>
        </w:rPr>
        <w:t>，</w:t>
      </w:r>
      <w:r>
        <w:rPr>
          <w:rFonts w:hint="eastAsia" w:ascii="仿宋_GB2312" w:hAnsi="仿宋_GB2312" w:eastAsia="仿宋_GB2312" w:cs="仿宋_GB2312"/>
          <w:sz w:val="32"/>
          <w:szCs w:val="32"/>
          <w:shd w:val="clear" w:color="auto" w:fill="FFFFFF"/>
        </w:rPr>
        <w:t>不断加强完善“张店金融”微信建设，设置</w:t>
      </w:r>
      <w:r>
        <w:rPr>
          <w:rFonts w:hint="eastAsia" w:ascii="仿宋_GB2312" w:hAnsi="仿宋_GB2312" w:eastAsia="仿宋_GB2312" w:cs="仿宋_GB2312"/>
          <w:sz w:val="32"/>
          <w:szCs w:val="32"/>
          <w:shd w:val="clear" w:color="auto" w:fill="FFFFFF"/>
          <w:lang w:val="en-US" w:eastAsia="zh-CN"/>
        </w:rPr>
        <w:t>三提三争、科室动态、张金党建、风险防范</w:t>
      </w:r>
      <w:r>
        <w:rPr>
          <w:rFonts w:hint="eastAsia" w:ascii="仿宋_GB2312" w:hAnsi="仿宋_GB2312" w:eastAsia="仿宋_GB2312" w:cs="仿宋_GB2312"/>
          <w:sz w:val="32"/>
          <w:szCs w:val="32"/>
          <w:shd w:val="clear" w:color="auto" w:fill="FFFFFF"/>
        </w:rPr>
        <w:t>、</w:t>
      </w:r>
      <w:r>
        <w:rPr>
          <w:rFonts w:hint="eastAsia" w:ascii="仿宋_GB2312" w:hAnsi="仿宋_GB2312" w:eastAsia="仿宋_GB2312" w:cs="仿宋_GB2312"/>
          <w:sz w:val="32"/>
          <w:szCs w:val="32"/>
          <w:shd w:val="clear" w:color="auto" w:fill="FFFFFF"/>
          <w:lang w:val="en-US" w:eastAsia="zh-CN"/>
        </w:rPr>
        <w:t>要闻速览</w:t>
      </w:r>
      <w:r>
        <w:rPr>
          <w:rFonts w:hint="eastAsia" w:ascii="仿宋_GB2312" w:hAnsi="仿宋_GB2312" w:eastAsia="仿宋_GB2312" w:cs="仿宋_GB2312"/>
          <w:sz w:val="32"/>
          <w:szCs w:val="32"/>
          <w:shd w:val="clear" w:color="auto" w:fill="FFFFFF"/>
        </w:rPr>
        <w:t>等板块，提高金融政策、行业信息、金融安全推送比例，实现了新媒体平台政务信息发布常态化。积极扩大宣传渠道</w:t>
      </w:r>
      <w:r>
        <w:rPr>
          <w:rFonts w:hint="eastAsia" w:ascii="仿宋_GB2312" w:hAnsi="仿宋_GB2312" w:eastAsia="仿宋_GB2312" w:cs="仿宋_GB2312"/>
          <w:sz w:val="32"/>
          <w:szCs w:val="32"/>
          <w:shd w:val="clear" w:color="auto" w:fill="FFFFFF"/>
          <w:lang w:eastAsia="zh-CN"/>
        </w:rPr>
        <w:t>，</w:t>
      </w:r>
      <w:r>
        <w:rPr>
          <w:rFonts w:hint="eastAsia" w:ascii="仿宋_GB2312" w:hAnsi="仿宋_GB2312" w:eastAsia="仿宋_GB2312" w:cs="仿宋_GB2312"/>
          <w:sz w:val="32"/>
          <w:szCs w:val="32"/>
          <w:shd w:val="clear" w:color="auto" w:fill="FFFFFF"/>
        </w:rPr>
        <w:t>微信公众号全年累计发送</w:t>
      </w:r>
      <w:r>
        <w:rPr>
          <w:rFonts w:hint="default" w:ascii="Times New Roman" w:hAnsi="Times New Roman" w:eastAsia="仿宋_GB2312" w:cs="Times New Roman"/>
          <w:sz w:val="32"/>
          <w:szCs w:val="32"/>
          <w:shd w:val="clear" w:color="auto" w:fill="FFFFFF"/>
          <w:lang w:val="en-US" w:eastAsia="zh-CN"/>
        </w:rPr>
        <w:t>44</w:t>
      </w:r>
      <w:r>
        <w:rPr>
          <w:rFonts w:hint="eastAsia" w:ascii="仿宋_GB2312" w:hAnsi="仿宋_GB2312" w:eastAsia="仿宋_GB2312" w:cs="仿宋_GB2312"/>
          <w:sz w:val="32"/>
          <w:szCs w:val="32"/>
          <w:shd w:val="clear" w:color="auto" w:fill="FFFFFF"/>
        </w:rPr>
        <w:t>期，共计</w:t>
      </w:r>
      <w:r>
        <w:rPr>
          <w:rFonts w:hint="default" w:ascii="Times New Roman" w:hAnsi="Times New Roman" w:eastAsia="仿宋_GB2312" w:cs="Times New Roman"/>
          <w:sz w:val="32"/>
          <w:szCs w:val="32"/>
          <w:shd w:val="clear" w:color="auto" w:fill="FFFFFF"/>
          <w:lang w:val="en-US" w:eastAsia="zh-CN"/>
        </w:rPr>
        <w:t>300</w:t>
      </w:r>
      <w:r>
        <w:rPr>
          <w:rFonts w:hint="eastAsia" w:ascii="仿宋_GB2312" w:hAnsi="仿宋_GB2312" w:eastAsia="仿宋_GB2312" w:cs="仿宋_GB2312"/>
          <w:sz w:val="32"/>
          <w:szCs w:val="32"/>
          <w:shd w:val="clear" w:color="auto" w:fill="FFFFFF"/>
          <w:lang w:val="en-US" w:eastAsia="zh-CN"/>
        </w:rPr>
        <w:t>余</w:t>
      </w:r>
      <w:r>
        <w:rPr>
          <w:rFonts w:hint="eastAsia" w:ascii="仿宋_GB2312" w:hAnsi="仿宋_GB2312" w:eastAsia="仿宋_GB2312" w:cs="仿宋_GB2312"/>
          <w:sz w:val="32"/>
          <w:szCs w:val="32"/>
          <w:shd w:val="clear" w:color="auto" w:fill="FFFFFF"/>
        </w:rPr>
        <w:t>条</w:t>
      </w:r>
      <w:r>
        <w:rPr>
          <w:rFonts w:hint="eastAsia" w:ascii="仿宋_GB2312" w:hAnsi="仿宋_GB2312" w:eastAsia="仿宋_GB2312" w:cs="仿宋_GB2312"/>
          <w:sz w:val="32"/>
          <w:szCs w:val="32"/>
          <w:shd w:val="clear" w:color="auto" w:fill="FFFFFF"/>
          <w:lang w:eastAsia="zh-CN"/>
        </w:rPr>
        <w:t>，</w:t>
      </w:r>
      <w:r>
        <w:rPr>
          <w:rFonts w:hint="eastAsia" w:ascii="仿宋_GB2312" w:hAnsi="仿宋_GB2312" w:eastAsia="仿宋_GB2312" w:cs="仿宋_GB2312"/>
          <w:sz w:val="32"/>
          <w:szCs w:val="32"/>
          <w:shd w:val="clear" w:color="auto" w:fill="FFFFFF"/>
          <w:lang w:val="en-US" w:eastAsia="zh-CN"/>
        </w:rPr>
        <w:t>新媒体平台</w:t>
      </w:r>
      <w:r>
        <w:rPr>
          <w:rFonts w:hint="eastAsia" w:ascii="仿宋_GB2312" w:hAnsi="仿宋_GB2312" w:eastAsia="仿宋_GB2312" w:cs="仿宋_GB2312"/>
          <w:sz w:val="32"/>
          <w:szCs w:val="32"/>
          <w:shd w:val="clear" w:color="auto" w:fill="FFFFFF"/>
        </w:rPr>
        <w:t>宣传信息共</w:t>
      </w:r>
      <w:r>
        <w:rPr>
          <w:rFonts w:hint="default" w:ascii="Times New Roman" w:hAnsi="Times New Roman" w:eastAsia="仿宋_GB2312" w:cs="Times New Roman"/>
          <w:sz w:val="32"/>
          <w:szCs w:val="32"/>
          <w:shd w:val="clear" w:color="auto" w:fill="FFFFFF"/>
        </w:rPr>
        <w:t>73</w:t>
      </w:r>
      <w:r>
        <w:rPr>
          <w:rFonts w:hint="eastAsia" w:ascii="仿宋_GB2312" w:hAnsi="仿宋_GB2312" w:eastAsia="仿宋_GB2312" w:cs="仿宋_GB2312"/>
          <w:sz w:val="32"/>
          <w:szCs w:val="32"/>
          <w:shd w:val="clear" w:color="auto" w:fill="FFFFFF"/>
        </w:rPr>
        <w:t>篇，其中省级媒体</w:t>
      </w:r>
      <w:r>
        <w:rPr>
          <w:rFonts w:hint="default" w:ascii="Times New Roman" w:hAnsi="Times New Roman" w:eastAsia="仿宋_GB2312" w:cs="Times New Roman"/>
          <w:sz w:val="32"/>
          <w:szCs w:val="32"/>
          <w:shd w:val="clear" w:color="auto" w:fill="FFFFFF"/>
        </w:rPr>
        <w:t>5</w:t>
      </w:r>
      <w:r>
        <w:rPr>
          <w:rFonts w:hint="eastAsia" w:ascii="仿宋_GB2312" w:hAnsi="仿宋_GB2312" w:eastAsia="仿宋_GB2312" w:cs="仿宋_GB2312"/>
          <w:sz w:val="32"/>
          <w:szCs w:val="32"/>
          <w:shd w:val="clear" w:color="auto" w:fill="FFFFFF"/>
        </w:rPr>
        <w:t>篇，市级媒体</w:t>
      </w:r>
      <w:r>
        <w:rPr>
          <w:rFonts w:hint="default" w:ascii="Times New Roman" w:hAnsi="Times New Roman" w:eastAsia="仿宋_GB2312" w:cs="Times New Roman"/>
          <w:sz w:val="32"/>
          <w:szCs w:val="32"/>
          <w:shd w:val="clear" w:color="auto" w:fill="FFFFFF"/>
        </w:rPr>
        <w:t>34</w:t>
      </w:r>
      <w:r>
        <w:rPr>
          <w:rFonts w:hint="eastAsia" w:ascii="仿宋_GB2312" w:hAnsi="仿宋_GB2312" w:eastAsia="仿宋_GB2312" w:cs="仿宋_GB2312"/>
          <w:sz w:val="32"/>
          <w:szCs w:val="32"/>
          <w:shd w:val="clear" w:color="auto" w:fill="FFFFFF"/>
        </w:rPr>
        <w:t>篇，区级媒体</w:t>
      </w:r>
      <w:r>
        <w:rPr>
          <w:rFonts w:hint="default" w:ascii="Times New Roman" w:hAnsi="Times New Roman" w:eastAsia="仿宋_GB2312" w:cs="Times New Roman"/>
          <w:sz w:val="32"/>
          <w:szCs w:val="32"/>
          <w:shd w:val="clear" w:color="auto" w:fill="FFFFFF"/>
        </w:rPr>
        <w:t>34</w:t>
      </w:r>
      <w:r>
        <w:rPr>
          <w:rFonts w:hint="eastAsia" w:ascii="仿宋_GB2312" w:hAnsi="仿宋_GB2312" w:eastAsia="仿宋_GB2312" w:cs="仿宋_GB2312"/>
          <w:sz w:val="32"/>
          <w:szCs w:val="32"/>
          <w:shd w:val="clear" w:color="auto" w:fill="FFFFFF"/>
        </w:rPr>
        <w:t>篇。</w:t>
      </w:r>
    </w:p>
    <w:p>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left="0" w:leftChars="0" w:right="0" w:rightChars="0" w:firstLine="643" w:firstLineChars="200"/>
        <w:jc w:val="both"/>
        <w:textAlignment w:val="auto"/>
        <w:outlineLvl w:val="9"/>
        <w:rPr>
          <w:rFonts w:hint="eastAsia" w:ascii="Times New Roman" w:hAnsi="Times New Roman" w:eastAsia="仿宋_GB2312" w:cs="仿宋_GB2312"/>
          <w:sz w:val="32"/>
          <w:szCs w:val="32"/>
        </w:rPr>
      </w:pPr>
      <w:r>
        <w:rPr>
          <w:rFonts w:hint="eastAsia" w:ascii="Times New Roman" w:hAnsi="Times New Roman" w:eastAsia="仿宋_GB2312" w:cs="仿宋_GB2312"/>
          <w:b/>
          <w:bCs/>
          <w:color w:val="000000" w:themeColor="text1"/>
          <w:sz w:val="32"/>
          <w:szCs w:val="32"/>
          <w:lang w:val="en-US" w:eastAsia="zh-CN"/>
          <w14:textFill>
            <w14:solidFill>
              <w14:schemeClr w14:val="tx1"/>
            </w14:solidFill>
          </w14:textFill>
        </w:rPr>
        <w:t>（五）监督保障方面</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afterLines="0" w:line="560" w:lineRule="exact"/>
        <w:ind w:left="0" w:leftChars="0" w:right="0" w:rightChars="0" w:firstLine="640" w:firstLineChars="200"/>
        <w:jc w:val="both"/>
        <w:textAlignment w:val="auto"/>
        <w:outlineLvl w:val="9"/>
        <w:rPr>
          <w:rFonts w:hint="eastAsia"/>
          <w:lang w:val="en-US" w:eastAsia="zh-CN"/>
        </w:rPr>
      </w:pPr>
      <w:r>
        <w:rPr>
          <w:rFonts w:hint="eastAsia" w:ascii="仿宋_GB2312" w:hAnsi="仿宋_GB2312" w:eastAsia="仿宋_GB2312" w:cs="仿宋_GB2312"/>
          <w:sz w:val="32"/>
          <w:szCs w:val="32"/>
          <w:shd w:val="clear" w:color="auto" w:fill="FFFFFF"/>
        </w:rPr>
        <w:t>明确组织领导、分管领导，确定综合科为主管科室，负责推进、指导、协调、监督我局政府信息公开工作，并指定</w:t>
      </w:r>
      <w:r>
        <w:rPr>
          <w:rFonts w:hint="eastAsia" w:ascii="Times New Roman" w:hAnsi="Times New Roman" w:eastAsia="仿宋_GB2312" w:cs="Times New Roman"/>
          <w:sz w:val="32"/>
          <w:szCs w:val="32"/>
          <w:shd w:val="clear" w:color="auto" w:fill="FFFFFF"/>
          <w:lang w:val="en-US" w:eastAsia="zh-CN"/>
        </w:rPr>
        <w:t>专门</w:t>
      </w:r>
      <w:r>
        <w:rPr>
          <w:rFonts w:hint="eastAsia" w:ascii="仿宋_GB2312" w:hAnsi="仿宋_GB2312" w:eastAsia="仿宋_GB2312" w:cs="仿宋_GB2312"/>
          <w:sz w:val="32"/>
          <w:szCs w:val="32"/>
          <w:shd w:val="clear" w:color="auto" w:fill="FFFFFF"/>
        </w:rPr>
        <w:t>工作人员负责具体事务</w:t>
      </w:r>
      <w:r>
        <w:rPr>
          <w:rFonts w:hint="eastAsia" w:ascii="仿宋_GB2312" w:hAnsi="仿宋_GB2312" w:eastAsia="仿宋_GB2312" w:cs="仿宋_GB2312"/>
          <w:sz w:val="32"/>
          <w:szCs w:val="32"/>
          <w:shd w:val="clear" w:color="auto" w:fill="FFFFFF"/>
          <w:lang w:eastAsia="zh-CN"/>
        </w:rPr>
        <w:t>。</w:t>
      </w:r>
      <w:r>
        <w:rPr>
          <w:rFonts w:hint="eastAsia" w:ascii="仿宋_GB2312" w:hAnsi="仿宋_GB2312" w:eastAsia="仿宋_GB2312" w:cs="仿宋_GB2312"/>
          <w:sz w:val="32"/>
          <w:szCs w:val="32"/>
          <w:lang w:val="en-US" w:eastAsia="zh-CN"/>
        </w:rPr>
        <w:t>加强政务公开工作领导，做好政府信息公开监督保障，召开局办公会议专题研究考核事宜，安排部署工作任务。强化政务公开业务学习培训，召开政务公开培训全体人员会议，提高认识，协同配合，增强做好政务公开工作的自觉性和责任感；积极参加区政府电子政务办举办的政务公开工作培训会、考核培训会，提升政务公开工作质量。</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Times New Roman" w:hAnsi="Times New Roman" w:eastAsia="黑体" w:cs="黑体"/>
          <w:b w:val="0"/>
          <w:bCs/>
          <w:i w:val="0"/>
          <w:caps w:val="0"/>
          <w:color w:val="333333"/>
          <w:spacing w:val="0"/>
          <w:sz w:val="32"/>
          <w:szCs w:val="32"/>
        </w:rPr>
      </w:pPr>
      <w:r>
        <w:rPr>
          <w:rFonts w:hint="eastAsia" w:ascii="Times New Roman" w:hAnsi="Times New Roman" w:eastAsia="黑体" w:cs="黑体"/>
          <w:b w:val="0"/>
          <w:bCs/>
          <w:i w:val="0"/>
          <w:caps w:val="0"/>
          <w:color w:val="333333"/>
          <w:spacing w:val="0"/>
          <w:sz w:val="32"/>
          <w:szCs w:val="32"/>
          <w:shd w:val="clear" w:fill="FFFFFF"/>
        </w:rPr>
        <w:t>二、主动公开政府信息情况</w:t>
      </w:r>
    </w:p>
    <w:tbl>
      <w:tblPr>
        <w:tblStyle w:val="8"/>
        <w:tblW w:w="8824" w:type="dxa"/>
        <w:tblInd w:w="0" w:type="dxa"/>
        <w:tblLayout w:type="fixed"/>
        <w:tblCellMar>
          <w:top w:w="0" w:type="dxa"/>
          <w:left w:w="108" w:type="dxa"/>
          <w:bottom w:w="0" w:type="dxa"/>
          <w:right w:w="108" w:type="dxa"/>
        </w:tblCellMar>
      </w:tblPr>
      <w:tblGrid>
        <w:gridCol w:w="2206"/>
        <w:gridCol w:w="2206"/>
        <w:gridCol w:w="2206"/>
        <w:gridCol w:w="2206"/>
      </w:tblGrid>
      <w:tr>
        <w:tblPrEx>
          <w:tblLayout w:type="fixed"/>
          <w:tblCellMar>
            <w:top w:w="0" w:type="dxa"/>
            <w:left w:w="108" w:type="dxa"/>
            <w:bottom w:w="0" w:type="dxa"/>
            <w:right w:w="108" w:type="dxa"/>
          </w:tblCellMar>
        </w:tblPrEx>
        <w:trPr>
          <w:trHeight w:val="567" w:hRule="atLeast"/>
        </w:trPr>
        <w:tc>
          <w:tcPr>
            <w:tcW w:w="8824" w:type="dxa"/>
            <w:gridSpan w:val="4"/>
            <w:tcBorders>
              <w:top w:val="single" w:color="auto" w:sz="8" w:space="0"/>
              <w:left w:val="single" w:color="auto" w:sz="8" w:space="0"/>
              <w:bottom w:val="single" w:color="auto" w:sz="8" w:space="0"/>
              <w:right w:val="single" w:color="000000" w:sz="8" w:space="0"/>
            </w:tcBorders>
            <w:shd w:val="clear" w:color="000000" w:fill="C6D9F1"/>
            <w:vAlign w:val="center"/>
          </w:tcPr>
          <w:p>
            <w:pPr>
              <w:keepNext w:val="0"/>
              <w:keepLines w:val="0"/>
              <w:pageBreakBefore w:val="0"/>
              <w:widowControl/>
              <w:kinsoku/>
              <w:wordWrap w:val="0"/>
              <w:overflowPunct/>
              <w:topLinePunct w:val="0"/>
              <w:autoSpaceDE/>
              <w:autoSpaceDN/>
              <w:bidi w:val="0"/>
              <w:adjustRightInd/>
              <w:snapToGrid/>
              <w:jc w:val="center"/>
              <w:textAlignment w:val="auto"/>
              <w:rPr>
                <w:rFonts w:ascii="Times New Roman" w:hAnsi="Times New Roman" w:eastAsia="黑体" w:cs="宋体"/>
                <w:color w:val="000000"/>
                <w:kern w:val="0"/>
                <w:szCs w:val="21"/>
              </w:rPr>
            </w:pPr>
            <w:r>
              <w:rPr>
                <w:rFonts w:hint="eastAsia" w:ascii="Times New Roman" w:hAnsi="Times New Roman" w:eastAsia="黑体" w:cs="宋体"/>
                <w:color w:val="000000"/>
                <w:kern w:val="0"/>
                <w:szCs w:val="21"/>
              </w:rPr>
              <w:t>第二十条第（一）项</w:t>
            </w:r>
          </w:p>
        </w:tc>
      </w:tr>
      <w:tr>
        <w:tblPrEx>
          <w:tblLayout w:type="fixed"/>
          <w:tblCellMar>
            <w:top w:w="0" w:type="dxa"/>
            <w:left w:w="108" w:type="dxa"/>
            <w:bottom w:w="0" w:type="dxa"/>
            <w:right w:w="108" w:type="dxa"/>
          </w:tblCellMar>
        </w:tblPrEx>
        <w:trPr>
          <w:trHeight w:val="567" w:hRule="atLeast"/>
        </w:trPr>
        <w:tc>
          <w:tcPr>
            <w:tcW w:w="2206"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kinsoku/>
              <w:wordWrap w:val="0"/>
              <w:overflowPunct/>
              <w:topLinePunct w:val="0"/>
              <w:autoSpaceDE/>
              <w:autoSpaceDN/>
              <w:bidi w:val="0"/>
              <w:adjustRightInd/>
              <w:snapToGrid/>
              <w:jc w:val="center"/>
              <w:textAlignment w:val="auto"/>
              <w:rPr>
                <w:rFonts w:ascii="Times New Roman" w:hAnsi="Times New Roman" w:eastAsia="仿宋_GB2312" w:cs="宋体"/>
                <w:b/>
                <w:bCs/>
                <w:color w:val="000000"/>
                <w:kern w:val="0"/>
                <w:szCs w:val="21"/>
              </w:rPr>
            </w:pPr>
            <w:r>
              <w:rPr>
                <w:rFonts w:hint="eastAsia" w:ascii="Times New Roman" w:hAnsi="Times New Roman" w:eastAsia="仿宋_GB2312" w:cs="宋体"/>
                <w:b/>
                <w:bCs/>
                <w:color w:val="000000"/>
                <w:kern w:val="0"/>
                <w:szCs w:val="21"/>
              </w:rPr>
              <w:t>信息内容</w:t>
            </w:r>
          </w:p>
        </w:tc>
        <w:tc>
          <w:tcPr>
            <w:tcW w:w="2206"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val="0"/>
              <w:overflowPunct/>
              <w:topLinePunct w:val="0"/>
              <w:autoSpaceDE/>
              <w:autoSpaceDN/>
              <w:bidi w:val="0"/>
              <w:adjustRightInd/>
              <w:snapToGrid/>
              <w:jc w:val="center"/>
              <w:textAlignment w:val="auto"/>
              <w:rPr>
                <w:rFonts w:ascii="Times New Roman" w:hAnsi="Times New Roman" w:eastAsia="仿宋_GB2312" w:cs="宋体"/>
                <w:b/>
                <w:bCs/>
                <w:color w:val="000000"/>
                <w:kern w:val="0"/>
                <w:szCs w:val="21"/>
              </w:rPr>
            </w:pPr>
            <w:r>
              <w:rPr>
                <w:rFonts w:hint="eastAsia" w:ascii="Times New Roman" w:hAnsi="Times New Roman" w:eastAsia="仿宋_GB2312" w:cs="宋体"/>
                <w:b/>
                <w:bCs/>
                <w:color w:val="000000"/>
                <w:kern w:val="0"/>
                <w:szCs w:val="21"/>
              </w:rPr>
              <w:t>本年制发件数</w:t>
            </w:r>
          </w:p>
        </w:tc>
        <w:tc>
          <w:tcPr>
            <w:tcW w:w="2206"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val="0"/>
              <w:overflowPunct/>
              <w:topLinePunct w:val="0"/>
              <w:autoSpaceDE/>
              <w:autoSpaceDN/>
              <w:bidi w:val="0"/>
              <w:adjustRightInd/>
              <w:snapToGrid/>
              <w:jc w:val="center"/>
              <w:textAlignment w:val="auto"/>
              <w:rPr>
                <w:rFonts w:ascii="Times New Roman" w:hAnsi="Times New Roman" w:eastAsia="仿宋_GB2312" w:cs="宋体"/>
                <w:b/>
                <w:bCs/>
                <w:color w:val="000000"/>
                <w:kern w:val="0"/>
                <w:szCs w:val="21"/>
              </w:rPr>
            </w:pPr>
            <w:r>
              <w:rPr>
                <w:rFonts w:hint="eastAsia" w:ascii="Times New Roman" w:hAnsi="Times New Roman" w:eastAsia="仿宋_GB2312" w:cs="宋体"/>
                <w:b/>
                <w:bCs/>
                <w:color w:val="000000"/>
                <w:kern w:val="0"/>
                <w:szCs w:val="21"/>
              </w:rPr>
              <w:t>本年废止件数</w:t>
            </w:r>
          </w:p>
        </w:tc>
        <w:tc>
          <w:tcPr>
            <w:tcW w:w="2206"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val="0"/>
              <w:overflowPunct/>
              <w:topLinePunct w:val="0"/>
              <w:autoSpaceDE/>
              <w:autoSpaceDN/>
              <w:bidi w:val="0"/>
              <w:adjustRightInd/>
              <w:snapToGrid/>
              <w:jc w:val="center"/>
              <w:textAlignment w:val="auto"/>
              <w:rPr>
                <w:rFonts w:ascii="Times New Roman" w:hAnsi="Times New Roman" w:eastAsia="仿宋_GB2312" w:cs="宋体"/>
                <w:b/>
                <w:bCs/>
                <w:color w:val="000000"/>
                <w:kern w:val="0"/>
                <w:szCs w:val="21"/>
              </w:rPr>
            </w:pPr>
            <w:r>
              <w:rPr>
                <w:rFonts w:hint="eastAsia" w:ascii="Times New Roman" w:hAnsi="Times New Roman" w:eastAsia="仿宋_GB2312" w:cs="宋体"/>
                <w:b/>
                <w:bCs/>
                <w:color w:val="000000"/>
                <w:kern w:val="0"/>
                <w:szCs w:val="21"/>
              </w:rPr>
              <w:t>现行有效件数</w:t>
            </w:r>
          </w:p>
        </w:tc>
      </w:tr>
      <w:tr>
        <w:tblPrEx>
          <w:tblLayout w:type="fixed"/>
          <w:tblCellMar>
            <w:top w:w="0" w:type="dxa"/>
            <w:left w:w="108" w:type="dxa"/>
            <w:bottom w:w="0" w:type="dxa"/>
            <w:right w:w="108" w:type="dxa"/>
          </w:tblCellMar>
        </w:tblPrEx>
        <w:trPr>
          <w:trHeight w:val="567" w:hRule="atLeast"/>
        </w:trPr>
        <w:tc>
          <w:tcPr>
            <w:tcW w:w="2206"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kinsoku/>
              <w:wordWrap w:val="0"/>
              <w:overflowPunct/>
              <w:topLinePunct w:val="0"/>
              <w:autoSpaceDE/>
              <w:autoSpaceDN/>
              <w:bidi w:val="0"/>
              <w:adjustRightInd/>
              <w:snapToGrid/>
              <w:jc w:val="center"/>
              <w:textAlignment w:val="auto"/>
              <w:rPr>
                <w:rFonts w:ascii="Times New Roman" w:hAnsi="Times New Roman" w:eastAsia="仿宋_GB2312" w:cs="宋体"/>
                <w:color w:val="000000"/>
                <w:kern w:val="0"/>
                <w:szCs w:val="21"/>
              </w:rPr>
            </w:pPr>
            <w:r>
              <w:rPr>
                <w:rFonts w:hint="eastAsia" w:ascii="Times New Roman" w:hAnsi="Times New Roman" w:eastAsia="仿宋_GB2312" w:cs="宋体"/>
                <w:color w:val="000000"/>
                <w:kern w:val="0"/>
                <w:szCs w:val="21"/>
              </w:rPr>
              <w:t>规章</w:t>
            </w:r>
          </w:p>
        </w:tc>
        <w:tc>
          <w:tcPr>
            <w:tcW w:w="2206"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val="0"/>
              <w:overflowPunct/>
              <w:topLinePunct w:val="0"/>
              <w:autoSpaceDE/>
              <w:autoSpaceDN/>
              <w:bidi w:val="0"/>
              <w:adjustRightInd/>
              <w:snapToGrid/>
              <w:jc w:val="center"/>
              <w:textAlignment w:val="auto"/>
              <w:rPr>
                <w:rFonts w:hint="eastAsia" w:ascii="Times New Roman" w:hAnsi="Times New Roman" w:eastAsia="仿宋_GB2312" w:cs="宋体"/>
                <w:color w:val="auto"/>
                <w:kern w:val="0"/>
                <w:szCs w:val="21"/>
                <w:lang w:eastAsia="zh-CN"/>
              </w:rPr>
            </w:pPr>
            <w:r>
              <w:rPr>
                <w:rFonts w:hint="eastAsia" w:ascii="Times New Roman" w:hAnsi="Times New Roman" w:eastAsia="仿宋_GB2312" w:cs="宋体"/>
                <w:color w:val="auto"/>
                <w:kern w:val="0"/>
                <w:szCs w:val="21"/>
                <w:lang w:val="en-US" w:eastAsia="zh-CN"/>
              </w:rPr>
              <w:t>0</w:t>
            </w:r>
          </w:p>
        </w:tc>
        <w:tc>
          <w:tcPr>
            <w:tcW w:w="2206"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val="0"/>
              <w:overflowPunct/>
              <w:topLinePunct w:val="0"/>
              <w:autoSpaceDE/>
              <w:autoSpaceDN/>
              <w:bidi w:val="0"/>
              <w:adjustRightInd/>
              <w:snapToGrid/>
              <w:jc w:val="center"/>
              <w:textAlignment w:val="auto"/>
              <w:rPr>
                <w:rFonts w:ascii="Times New Roman" w:hAnsi="Times New Roman" w:eastAsia="仿宋_GB2312" w:cs="宋体"/>
                <w:color w:val="auto"/>
                <w:kern w:val="0"/>
                <w:szCs w:val="21"/>
              </w:rPr>
            </w:pPr>
            <w:r>
              <w:rPr>
                <w:rFonts w:hint="eastAsia" w:ascii="Times New Roman" w:hAnsi="Times New Roman" w:eastAsia="仿宋_GB2312" w:cs="宋体"/>
                <w:color w:val="auto"/>
                <w:kern w:val="0"/>
                <w:szCs w:val="21"/>
                <w:lang w:val="en-US" w:eastAsia="zh-CN"/>
              </w:rPr>
              <w:t>0</w:t>
            </w:r>
          </w:p>
        </w:tc>
        <w:tc>
          <w:tcPr>
            <w:tcW w:w="2206"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val="0"/>
              <w:overflowPunct/>
              <w:topLinePunct w:val="0"/>
              <w:autoSpaceDE/>
              <w:autoSpaceDN/>
              <w:bidi w:val="0"/>
              <w:adjustRightInd/>
              <w:snapToGrid/>
              <w:jc w:val="center"/>
              <w:textAlignment w:val="auto"/>
              <w:rPr>
                <w:rFonts w:ascii="Times New Roman" w:hAnsi="Times New Roman" w:eastAsia="仿宋_GB2312" w:cs="Calibri"/>
                <w:color w:val="auto"/>
                <w:kern w:val="0"/>
                <w:szCs w:val="21"/>
              </w:rPr>
            </w:pPr>
            <w:r>
              <w:rPr>
                <w:rFonts w:hint="eastAsia" w:ascii="Times New Roman" w:hAnsi="Times New Roman" w:eastAsia="仿宋_GB2312" w:cs="宋体"/>
                <w:color w:val="auto"/>
                <w:kern w:val="0"/>
                <w:szCs w:val="21"/>
                <w:lang w:val="en-US" w:eastAsia="zh-CN"/>
              </w:rPr>
              <w:t>0</w:t>
            </w:r>
          </w:p>
        </w:tc>
      </w:tr>
      <w:tr>
        <w:tblPrEx>
          <w:tblLayout w:type="fixed"/>
          <w:tblCellMar>
            <w:top w:w="0" w:type="dxa"/>
            <w:left w:w="108" w:type="dxa"/>
            <w:bottom w:w="0" w:type="dxa"/>
            <w:right w:w="108" w:type="dxa"/>
          </w:tblCellMar>
        </w:tblPrEx>
        <w:trPr>
          <w:trHeight w:val="567" w:hRule="atLeast"/>
        </w:trPr>
        <w:tc>
          <w:tcPr>
            <w:tcW w:w="2206"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kinsoku/>
              <w:wordWrap w:val="0"/>
              <w:overflowPunct/>
              <w:topLinePunct w:val="0"/>
              <w:autoSpaceDE/>
              <w:autoSpaceDN/>
              <w:bidi w:val="0"/>
              <w:adjustRightInd/>
              <w:snapToGrid/>
              <w:jc w:val="center"/>
              <w:textAlignment w:val="auto"/>
              <w:rPr>
                <w:rFonts w:ascii="Times New Roman" w:hAnsi="Times New Roman" w:eastAsia="仿宋_GB2312" w:cs="宋体"/>
                <w:color w:val="000000"/>
                <w:kern w:val="0"/>
                <w:szCs w:val="21"/>
              </w:rPr>
            </w:pPr>
            <w:r>
              <w:rPr>
                <w:rFonts w:hint="eastAsia" w:ascii="Times New Roman" w:hAnsi="Times New Roman" w:eastAsia="仿宋_GB2312" w:cs="宋体"/>
                <w:color w:val="000000"/>
                <w:kern w:val="0"/>
                <w:szCs w:val="21"/>
                <w:highlight w:val="none"/>
              </w:rPr>
              <w:t>行政规范性文件</w:t>
            </w:r>
          </w:p>
        </w:tc>
        <w:tc>
          <w:tcPr>
            <w:tcW w:w="2206"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val="0"/>
              <w:overflowPunct/>
              <w:topLinePunct w:val="0"/>
              <w:autoSpaceDE/>
              <w:autoSpaceDN/>
              <w:bidi w:val="0"/>
              <w:adjustRightInd/>
              <w:snapToGrid/>
              <w:jc w:val="center"/>
              <w:textAlignment w:val="auto"/>
              <w:rPr>
                <w:rFonts w:hint="eastAsia" w:ascii="Times New Roman" w:hAnsi="Times New Roman" w:eastAsia="仿宋_GB2312" w:cs="宋体"/>
                <w:color w:val="auto"/>
                <w:kern w:val="0"/>
                <w:szCs w:val="21"/>
                <w:lang w:eastAsia="zh-CN"/>
              </w:rPr>
            </w:pPr>
            <w:r>
              <w:rPr>
                <w:rFonts w:hint="eastAsia" w:ascii="Times New Roman" w:hAnsi="Times New Roman" w:eastAsia="仿宋_GB2312" w:cs="宋体"/>
                <w:color w:val="auto"/>
                <w:kern w:val="0"/>
                <w:szCs w:val="21"/>
                <w:lang w:val="en-US" w:eastAsia="zh-CN"/>
              </w:rPr>
              <w:t>1</w:t>
            </w:r>
          </w:p>
        </w:tc>
        <w:tc>
          <w:tcPr>
            <w:tcW w:w="2206"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val="0"/>
              <w:overflowPunct/>
              <w:topLinePunct w:val="0"/>
              <w:autoSpaceDE/>
              <w:autoSpaceDN/>
              <w:bidi w:val="0"/>
              <w:adjustRightInd/>
              <w:snapToGrid/>
              <w:jc w:val="center"/>
              <w:textAlignment w:val="auto"/>
              <w:rPr>
                <w:rFonts w:hint="default" w:ascii="Times New Roman" w:hAnsi="Times New Roman" w:eastAsia="仿宋_GB2312" w:cs="宋体"/>
                <w:color w:val="auto"/>
                <w:kern w:val="0"/>
                <w:szCs w:val="21"/>
                <w:lang w:val="en-US" w:eastAsia="zh-CN"/>
              </w:rPr>
            </w:pPr>
            <w:r>
              <w:rPr>
                <w:rFonts w:hint="eastAsia" w:ascii="Times New Roman" w:hAnsi="Times New Roman" w:eastAsia="仿宋_GB2312" w:cs="宋体"/>
                <w:color w:val="auto"/>
                <w:kern w:val="0"/>
                <w:szCs w:val="21"/>
                <w:lang w:val="en-US" w:eastAsia="zh-CN"/>
              </w:rPr>
              <w:t>1</w:t>
            </w:r>
          </w:p>
        </w:tc>
        <w:tc>
          <w:tcPr>
            <w:tcW w:w="2206" w:type="dxa"/>
            <w:tcBorders>
              <w:top w:val="nil"/>
              <w:left w:val="nil"/>
              <w:bottom w:val="single" w:color="auto" w:sz="8" w:space="0"/>
              <w:right w:val="single" w:color="auto" w:sz="8" w:space="0"/>
            </w:tcBorders>
            <w:shd w:val="clear" w:color="auto" w:fill="auto"/>
            <w:vAlign w:val="center"/>
          </w:tcPr>
          <w:p>
            <w:pPr>
              <w:keepNext w:val="0"/>
              <w:keepLines w:val="0"/>
              <w:pageBreakBefore w:val="0"/>
              <w:widowControl/>
              <w:kinsoku/>
              <w:wordWrap w:val="0"/>
              <w:overflowPunct/>
              <w:topLinePunct w:val="0"/>
              <w:autoSpaceDE/>
              <w:autoSpaceDN/>
              <w:bidi w:val="0"/>
              <w:adjustRightInd/>
              <w:snapToGrid/>
              <w:jc w:val="center"/>
              <w:textAlignment w:val="auto"/>
              <w:rPr>
                <w:rFonts w:hint="eastAsia" w:ascii="Times New Roman" w:hAnsi="Times New Roman" w:eastAsia="仿宋_GB2312" w:cs="宋体"/>
                <w:color w:val="auto"/>
                <w:kern w:val="0"/>
                <w:szCs w:val="21"/>
                <w:lang w:eastAsia="zh-CN"/>
              </w:rPr>
            </w:pPr>
            <w:r>
              <w:rPr>
                <w:rFonts w:hint="eastAsia" w:ascii="Times New Roman" w:hAnsi="Times New Roman" w:eastAsia="仿宋_GB2312" w:cs="宋体"/>
                <w:color w:val="auto"/>
                <w:kern w:val="0"/>
                <w:szCs w:val="21"/>
                <w:lang w:val="en-US" w:eastAsia="zh-CN"/>
              </w:rPr>
              <w:t>1</w:t>
            </w:r>
          </w:p>
        </w:tc>
      </w:tr>
      <w:tr>
        <w:tblPrEx>
          <w:tblLayout w:type="fixed"/>
          <w:tblCellMar>
            <w:top w:w="0" w:type="dxa"/>
            <w:left w:w="108" w:type="dxa"/>
            <w:bottom w:w="0" w:type="dxa"/>
            <w:right w:w="108" w:type="dxa"/>
          </w:tblCellMar>
        </w:tblPrEx>
        <w:trPr>
          <w:trHeight w:val="567" w:hRule="atLeast"/>
        </w:trPr>
        <w:tc>
          <w:tcPr>
            <w:tcW w:w="8824" w:type="dxa"/>
            <w:gridSpan w:val="4"/>
            <w:tcBorders>
              <w:top w:val="single" w:color="auto" w:sz="8" w:space="0"/>
              <w:left w:val="single" w:color="auto" w:sz="8" w:space="0"/>
              <w:bottom w:val="single" w:color="auto" w:sz="8" w:space="0"/>
              <w:right w:val="single" w:color="000000" w:sz="8" w:space="0"/>
            </w:tcBorders>
            <w:shd w:val="clear" w:color="000000" w:fill="C6D9F1"/>
            <w:vAlign w:val="center"/>
          </w:tcPr>
          <w:p>
            <w:pPr>
              <w:keepNext w:val="0"/>
              <w:keepLines w:val="0"/>
              <w:pageBreakBefore w:val="0"/>
              <w:widowControl/>
              <w:kinsoku/>
              <w:wordWrap w:val="0"/>
              <w:overflowPunct/>
              <w:topLinePunct w:val="0"/>
              <w:autoSpaceDE/>
              <w:autoSpaceDN/>
              <w:bidi w:val="0"/>
              <w:adjustRightInd/>
              <w:snapToGrid/>
              <w:jc w:val="center"/>
              <w:textAlignment w:val="auto"/>
              <w:rPr>
                <w:rFonts w:ascii="Times New Roman" w:hAnsi="Times New Roman" w:eastAsia="黑体" w:cs="宋体"/>
                <w:color w:val="000000"/>
                <w:kern w:val="0"/>
                <w:szCs w:val="21"/>
              </w:rPr>
            </w:pPr>
            <w:r>
              <w:rPr>
                <w:rFonts w:hint="eastAsia" w:ascii="Times New Roman" w:hAnsi="Times New Roman" w:eastAsia="黑体" w:cs="宋体"/>
                <w:color w:val="000000"/>
                <w:kern w:val="0"/>
                <w:szCs w:val="21"/>
              </w:rPr>
              <w:t>第二十条第（五）项</w:t>
            </w:r>
          </w:p>
        </w:tc>
      </w:tr>
      <w:tr>
        <w:tblPrEx>
          <w:tblLayout w:type="fixed"/>
          <w:tblCellMar>
            <w:top w:w="0" w:type="dxa"/>
            <w:left w:w="108" w:type="dxa"/>
            <w:bottom w:w="0" w:type="dxa"/>
            <w:right w:w="108" w:type="dxa"/>
          </w:tblCellMar>
        </w:tblPrEx>
        <w:trPr>
          <w:trHeight w:val="567" w:hRule="atLeast"/>
        </w:trPr>
        <w:tc>
          <w:tcPr>
            <w:tcW w:w="2206"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kinsoku/>
              <w:wordWrap w:val="0"/>
              <w:overflowPunct/>
              <w:topLinePunct w:val="0"/>
              <w:autoSpaceDE/>
              <w:autoSpaceDN/>
              <w:bidi w:val="0"/>
              <w:adjustRightInd/>
              <w:snapToGrid/>
              <w:jc w:val="center"/>
              <w:textAlignment w:val="auto"/>
              <w:rPr>
                <w:rFonts w:ascii="Times New Roman" w:hAnsi="Times New Roman" w:eastAsia="仿宋_GB2312" w:cs="宋体"/>
                <w:b/>
                <w:bCs/>
                <w:color w:val="000000"/>
                <w:kern w:val="0"/>
                <w:szCs w:val="21"/>
              </w:rPr>
            </w:pPr>
            <w:r>
              <w:rPr>
                <w:rFonts w:hint="eastAsia" w:ascii="Times New Roman" w:hAnsi="Times New Roman" w:eastAsia="仿宋_GB2312" w:cs="宋体"/>
                <w:b/>
                <w:bCs/>
                <w:color w:val="000000"/>
                <w:kern w:val="0"/>
                <w:szCs w:val="21"/>
              </w:rPr>
              <w:t>信息内容</w:t>
            </w:r>
          </w:p>
        </w:tc>
        <w:tc>
          <w:tcPr>
            <w:tcW w:w="6618" w:type="dxa"/>
            <w:gridSpan w:val="3"/>
            <w:tcBorders>
              <w:top w:val="single" w:color="auto" w:sz="8" w:space="0"/>
              <w:left w:val="nil"/>
              <w:bottom w:val="single" w:color="auto" w:sz="8" w:space="0"/>
              <w:right w:val="single" w:color="000000" w:sz="8" w:space="0"/>
            </w:tcBorders>
            <w:shd w:val="clear" w:color="auto" w:fill="auto"/>
            <w:vAlign w:val="center"/>
          </w:tcPr>
          <w:p>
            <w:pPr>
              <w:keepNext w:val="0"/>
              <w:keepLines w:val="0"/>
              <w:pageBreakBefore w:val="0"/>
              <w:widowControl/>
              <w:kinsoku/>
              <w:wordWrap w:val="0"/>
              <w:overflowPunct/>
              <w:topLinePunct w:val="0"/>
              <w:autoSpaceDE/>
              <w:autoSpaceDN/>
              <w:bidi w:val="0"/>
              <w:adjustRightInd/>
              <w:snapToGrid/>
              <w:jc w:val="center"/>
              <w:textAlignment w:val="auto"/>
              <w:rPr>
                <w:rFonts w:ascii="Times New Roman" w:hAnsi="Times New Roman" w:eastAsia="仿宋_GB2312" w:cs="宋体"/>
                <w:b/>
                <w:bCs/>
                <w:color w:val="000000"/>
                <w:kern w:val="0"/>
                <w:szCs w:val="21"/>
              </w:rPr>
            </w:pPr>
            <w:r>
              <w:rPr>
                <w:rFonts w:hint="eastAsia" w:ascii="Times New Roman" w:hAnsi="Times New Roman" w:eastAsia="仿宋_GB2312" w:cs="宋体"/>
                <w:b/>
                <w:bCs/>
                <w:color w:val="000000"/>
                <w:kern w:val="0"/>
                <w:szCs w:val="21"/>
              </w:rPr>
              <w:t>本年处理决定数量</w:t>
            </w:r>
          </w:p>
        </w:tc>
      </w:tr>
      <w:tr>
        <w:tblPrEx>
          <w:tblLayout w:type="fixed"/>
          <w:tblCellMar>
            <w:top w:w="0" w:type="dxa"/>
            <w:left w:w="108" w:type="dxa"/>
            <w:bottom w:w="0" w:type="dxa"/>
            <w:right w:w="108" w:type="dxa"/>
          </w:tblCellMar>
        </w:tblPrEx>
        <w:trPr>
          <w:trHeight w:val="567" w:hRule="atLeast"/>
        </w:trPr>
        <w:tc>
          <w:tcPr>
            <w:tcW w:w="2206"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kinsoku/>
              <w:wordWrap w:val="0"/>
              <w:overflowPunct/>
              <w:topLinePunct w:val="0"/>
              <w:autoSpaceDE/>
              <w:autoSpaceDN/>
              <w:bidi w:val="0"/>
              <w:adjustRightInd/>
              <w:snapToGrid/>
              <w:jc w:val="center"/>
              <w:textAlignment w:val="auto"/>
              <w:rPr>
                <w:rFonts w:ascii="Times New Roman" w:hAnsi="Times New Roman" w:eastAsia="仿宋_GB2312" w:cs="宋体"/>
                <w:color w:val="000000"/>
                <w:kern w:val="0"/>
                <w:szCs w:val="21"/>
              </w:rPr>
            </w:pPr>
            <w:r>
              <w:rPr>
                <w:rFonts w:hint="eastAsia" w:ascii="Times New Roman" w:hAnsi="Times New Roman" w:eastAsia="仿宋_GB2312" w:cs="宋体"/>
                <w:color w:val="000000"/>
                <w:kern w:val="0"/>
                <w:szCs w:val="21"/>
              </w:rPr>
              <w:t>行政许可</w:t>
            </w:r>
          </w:p>
        </w:tc>
        <w:tc>
          <w:tcPr>
            <w:tcW w:w="6618" w:type="dxa"/>
            <w:gridSpan w:val="3"/>
            <w:tcBorders>
              <w:top w:val="single" w:color="auto" w:sz="8" w:space="0"/>
              <w:left w:val="nil"/>
              <w:bottom w:val="single" w:color="auto" w:sz="8" w:space="0"/>
              <w:right w:val="single" w:color="000000" w:sz="8" w:space="0"/>
            </w:tcBorders>
            <w:shd w:val="clear" w:color="auto" w:fill="auto"/>
            <w:vAlign w:val="center"/>
          </w:tcPr>
          <w:p>
            <w:pPr>
              <w:keepNext w:val="0"/>
              <w:keepLines w:val="0"/>
              <w:pageBreakBefore w:val="0"/>
              <w:widowControl/>
              <w:kinsoku/>
              <w:wordWrap w:val="0"/>
              <w:overflowPunct/>
              <w:topLinePunct w:val="0"/>
              <w:autoSpaceDE/>
              <w:autoSpaceDN/>
              <w:bidi w:val="0"/>
              <w:adjustRightInd/>
              <w:snapToGrid/>
              <w:jc w:val="center"/>
              <w:textAlignment w:val="auto"/>
              <w:rPr>
                <w:rFonts w:hint="eastAsia" w:ascii="Times New Roman" w:hAnsi="Times New Roman" w:eastAsia="仿宋_GB2312" w:cs="Calibri"/>
                <w:color w:val="000000"/>
                <w:kern w:val="0"/>
                <w:szCs w:val="21"/>
                <w:lang w:val="en-US" w:eastAsia="zh-CN"/>
              </w:rPr>
            </w:pPr>
            <w:r>
              <w:rPr>
                <w:rFonts w:hint="eastAsia" w:ascii="Times New Roman" w:hAnsi="Times New Roman" w:eastAsia="仿宋_GB2312" w:cs="Calibri"/>
                <w:color w:val="auto"/>
                <w:kern w:val="0"/>
                <w:szCs w:val="21"/>
                <w:lang w:val="en-US" w:eastAsia="zh-CN"/>
              </w:rPr>
              <w:t>0</w:t>
            </w:r>
          </w:p>
        </w:tc>
      </w:tr>
      <w:tr>
        <w:tblPrEx>
          <w:tblLayout w:type="fixed"/>
          <w:tblCellMar>
            <w:top w:w="0" w:type="dxa"/>
            <w:left w:w="108" w:type="dxa"/>
            <w:bottom w:w="0" w:type="dxa"/>
            <w:right w:w="108" w:type="dxa"/>
          </w:tblCellMar>
        </w:tblPrEx>
        <w:trPr>
          <w:trHeight w:val="567" w:hRule="atLeast"/>
        </w:trPr>
        <w:tc>
          <w:tcPr>
            <w:tcW w:w="8824" w:type="dxa"/>
            <w:gridSpan w:val="4"/>
            <w:tcBorders>
              <w:top w:val="single" w:color="auto" w:sz="8" w:space="0"/>
              <w:left w:val="single" w:color="auto" w:sz="8" w:space="0"/>
              <w:bottom w:val="single" w:color="auto" w:sz="8" w:space="0"/>
              <w:right w:val="single" w:color="000000" w:sz="8" w:space="0"/>
            </w:tcBorders>
            <w:shd w:val="clear" w:color="000000" w:fill="C6D9F1"/>
            <w:vAlign w:val="center"/>
          </w:tcPr>
          <w:p>
            <w:pPr>
              <w:keepNext w:val="0"/>
              <w:keepLines w:val="0"/>
              <w:pageBreakBefore w:val="0"/>
              <w:widowControl/>
              <w:kinsoku/>
              <w:wordWrap w:val="0"/>
              <w:overflowPunct/>
              <w:topLinePunct w:val="0"/>
              <w:autoSpaceDE/>
              <w:autoSpaceDN/>
              <w:bidi w:val="0"/>
              <w:adjustRightInd/>
              <w:snapToGrid/>
              <w:jc w:val="center"/>
              <w:textAlignment w:val="auto"/>
              <w:rPr>
                <w:rFonts w:ascii="Times New Roman" w:hAnsi="Times New Roman" w:eastAsia="黑体" w:cs="宋体"/>
                <w:color w:val="000000"/>
                <w:kern w:val="0"/>
                <w:szCs w:val="21"/>
              </w:rPr>
            </w:pPr>
            <w:r>
              <w:rPr>
                <w:rFonts w:hint="eastAsia" w:ascii="Times New Roman" w:hAnsi="Times New Roman" w:eastAsia="黑体" w:cs="宋体"/>
                <w:color w:val="000000"/>
                <w:kern w:val="0"/>
                <w:szCs w:val="21"/>
              </w:rPr>
              <w:t>第二十条第（六）项</w:t>
            </w:r>
          </w:p>
        </w:tc>
      </w:tr>
      <w:tr>
        <w:tblPrEx>
          <w:tblLayout w:type="fixed"/>
          <w:tblCellMar>
            <w:top w:w="0" w:type="dxa"/>
            <w:left w:w="108" w:type="dxa"/>
            <w:bottom w:w="0" w:type="dxa"/>
            <w:right w:w="108" w:type="dxa"/>
          </w:tblCellMar>
        </w:tblPrEx>
        <w:trPr>
          <w:trHeight w:val="567" w:hRule="atLeast"/>
        </w:trPr>
        <w:tc>
          <w:tcPr>
            <w:tcW w:w="2206"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kinsoku/>
              <w:wordWrap w:val="0"/>
              <w:overflowPunct/>
              <w:topLinePunct w:val="0"/>
              <w:autoSpaceDE/>
              <w:autoSpaceDN/>
              <w:bidi w:val="0"/>
              <w:adjustRightInd/>
              <w:snapToGrid/>
              <w:jc w:val="center"/>
              <w:textAlignment w:val="auto"/>
              <w:rPr>
                <w:rFonts w:ascii="Times New Roman" w:hAnsi="Times New Roman" w:eastAsia="仿宋_GB2312" w:cs="宋体"/>
                <w:b/>
                <w:bCs/>
                <w:color w:val="000000"/>
                <w:kern w:val="0"/>
                <w:szCs w:val="21"/>
              </w:rPr>
            </w:pPr>
            <w:r>
              <w:rPr>
                <w:rFonts w:hint="eastAsia" w:ascii="Times New Roman" w:hAnsi="Times New Roman" w:eastAsia="仿宋_GB2312" w:cs="宋体"/>
                <w:b/>
                <w:bCs/>
                <w:color w:val="000000"/>
                <w:kern w:val="0"/>
                <w:szCs w:val="21"/>
              </w:rPr>
              <w:t>信息内容</w:t>
            </w:r>
          </w:p>
        </w:tc>
        <w:tc>
          <w:tcPr>
            <w:tcW w:w="6618" w:type="dxa"/>
            <w:gridSpan w:val="3"/>
            <w:tcBorders>
              <w:top w:val="single" w:color="auto" w:sz="8" w:space="0"/>
              <w:left w:val="nil"/>
              <w:bottom w:val="single" w:color="auto" w:sz="8" w:space="0"/>
              <w:right w:val="single" w:color="000000" w:sz="8" w:space="0"/>
            </w:tcBorders>
            <w:shd w:val="clear" w:color="auto" w:fill="auto"/>
            <w:vAlign w:val="center"/>
          </w:tcPr>
          <w:p>
            <w:pPr>
              <w:keepNext w:val="0"/>
              <w:keepLines w:val="0"/>
              <w:pageBreakBefore w:val="0"/>
              <w:widowControl/>
              <w:kinsoku/>
              <w:wordWrap w:val="0"/>
              <w:overflowPunct/>
              <w:topLinePunct w:val="0"/>
              <w:autoSpaceDE/>
              <w:autoSpaceDN/>
              <w:bidi w:val="0"/>
              <w:adjustRightInd/>
              <w:snapToGrid/>
              <w:jc w:val="center"/>
              <w:textAlignment w:val="auto"/>
              <w:rPr>
                <w:rFonts w:ascii="Times New Roman" w:hAnsi="Times New Roman" w:eastAsia="仿宋_GB2312" w:cs="宋体"/>
                <w:b/>
                <w:bCs/>
                <w:color w:val="000000"/>
                <w:kern w:val="0"/>
                <w:szCs w:val="21"/>
              </w:rPr>
            </w:pPr>
            <w:r>
              <w:rPr>
                <w:rFonts w:hint="eastAsia" w:ascii="Times New Roman" w:hAnsi="Times New Roman" w:eastAsia="仿宋_GB2312" w:cs="宋体"/>
                <w:b/>
                <w:bCs/>
                <w:color w:val="000000"/>
                <w:kern w:val="0"/>
                <w:szCs w:val="21"/>
              </w:rPr>
              <w:t>本年处理决定数量</w:t>
            </w:r>
          </w:p>
        </w:tc>
      </w:tr>
      <w:tr>
        <w:tblPrEx>
          <w:tblLayout w:type="fixed"/>
          <w:tblCellMar>
            <w:top w:w="0" w:type="dxa"/>
            <w:left w:w="108" w:type="dxa"/>
            <w:bottom w:w="0" w:type="dxa"/>
            <w:right w:w="108" w:type="dxa"/>
          </w:tblCellMar>
        </w:tblPrEx>
        <w:trPr>
          <w:trHeight w:val="567" w:hRule="atLeast"/>
        </w:trPr>
        <w:tc>
          <w:tcPr>
            <w:tcW w:w="2206"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kinsoku/>
              <w:wordWrap w:val="0"/>
              <w:overflowPunct/>
              <w:topLinePunct w:val="0"/>
              <w:autoSpaceDE/>
              <w:autoSpaceDN/>
              <w:bidi w:val="0"/>
              <w:adjustRightInd/>
              <w:snapToGrid/>
              <w:jc w:val="center"/>
              <w:textAlignment w:val="auto"/>
              <w:rPr>
                <w:rFonts w:ascii="Times New Roman" w:hAnsi="Times New Roman" w:eastAsia="仿宋_GB2312" w:cs="宋体"/>
                <w:color w:val="000000"/>
                <w:kern w:val="0"/>
                <w:szCs w:val="21"/>
              </w:rPr>
            </w:pPr>
            <w:r>
              <w:rPr>
                <w:rFonts w:hint="eastAsia" w:ascii="Times New Roman" w:hAnsi="Times New Roman" w:eastAsia="仿宋_GB2312" w:cs="宋体"/>
                <w:color w:val="000000"/>
                <w:kern w:val="0"/>
                <w:szCs w:val="21"/>
              </w:rPr>
              <w:t>行政处罚</w:t>
            </w:r>
          </w:p>
        </w:tc>
        <w:tc>
          <w:tcPr>
            <w:tcW w:w="6618" w:type="dxa"/>
            <w:gridSpan w:val="3"/>
            <w:tcBorders>
              <w:top w:val="single" w:color="auto" w:sz="8" w:space="0"/>
              <w:left w:val="nil"/>
              <w:bottom w:val="single" w:color="auto" w:sz="8" w:space="0"/>
              <w:right w:val="single" w:color="000000" w:sz="8" w:space="0"/>
            </w:tcBorders>
            <w:shd w:val="clear" w:color="auto" w:fill="auto"/>
            <w:vAlign w:val="center"/>
          </w:tcPr>
          <w:p>
            <w:pPr>
              <w:keepNext w:val="0"/>
              <w:keepLines w:val="0"/>
              <w:pageBreakBefore w:val="0"/>
              <w:widowControl/>
              <w:kinsoku/>
              <w:wordWrap w:val="0"/>
              <w:overflowPunct/>
              <w:topLinePunct w:val="0"/>
              <w:autoSpaceDE/>
              <w:autoSpaceDN/>
              <w:bidi w:val="0"/>
              <w:adjustRightInd/>
              <w:snapToGrid/>
              <w:jc w:val="center"/>
              <w:textAlignment w:val="auto"/>
              <w:rPr>
                <w:rFonts w:hint="eastAsia" w:ascii="Times New Roman" w:hAnsi="Times New Roman" w:eastAsia="仿宋_GB2312" w:cs="Calibri"/>
                <w:color w:val="auto"/>
                <w:kern w:val="0"/>
                <w:szCs w:val="21"/>
                <w:lang w:eastAsia="zh-CN"/>
              </w:rPr>
            </w:pPr>
            <w:r>
              <w:rPr>
                <w:rFonts w:hint="eastAsia" w:ascii="Times New Roman" w:hAnsi="Times New Roman" w:eastAsia="仿宋_GB2312" w:cs="Calibri"/>
                <w:color w:val="auto"/>
                <w:kern w:val="0"/>
                <w:szCs w:val="21"/>
                <w:lang w:val="en-US" w:eastAsia="zh-CN"/>
              </w:rPr>
              <w:t>0</w:t>
            </w:r>
          </w:p>
        </w:tc>
      </w:tr>
      <w:tr>
        <w:tblPrEx>
          <w:tblLayout w:type="fixed"/>
          <w:tblCellMar>
            <w:top w:w="0" w:type="dxa"/>
            <w:left w:w="108" w:type="dxa"/>
            <w:bottom w:w="0" w:type="dxa"/>
            <w:right w:w="108" w:type="dxa"/>
          </w:tblCellMar>
        </w:tblPrEx>
        <w:trPr>
          <w:trHeight w:val="567" w:hRule="atLeast"/>
        </w:trPr>
        <w:tc>
          <w:tcPr>
            <w:tcW w:w="2206"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kinsoku/>
              <w:wordWrap w:val="0"/>
              <w:overflowPunct/>
              <w:topLinePunct w:val="0"/>
              <w:autoSpaceDE/>
              <w:autoSpaceDN/>
              <w:bidi w:val="0"/>
              <w:adjustRightInd/>
              <w:snapToGrid/>
              <w:jc w:val="center"/>
              <w:textAlignment w:val="auto"/>
              <w:rPr>
                <w:rFonts w:ascii="Times New Roman" w:hAnsi="Times New Roman" w:eastAsia="仿宋_GB2312" w:cs="宋体"/>
                <w:color w:val="000000"/>
                <w:kern w:val="0"/>
                <w:szCs w:val="21"/>
              </w:rPr>
            </w:pPr>
            <w:r>
              <w:rPr>
                <w:rFonts w:hint="eastAsia" w:ascii="Times New Roman" w:hAnsi="Times New Roman" w:eastAsia="仿宋_GB2312" w:cs="宋体"/>
                <w:color w:val="000000"/>
                <w:kern w:val="0"/>
                <w:szCs w:val="21"/>
              </w:rPr>
              <w:t>行政强制</w:t>
            </w:r>
          </w:p>
        </w:tc>
        <w:tc>
          <w:tcPr>
            <w:tcW w:w="6618" w:type="dxa"/>
            <w:gridSpan w:val="3"/>
            <w:tcBorders>
              <w:top w:val="single" w:color="auto" w:sz="8" w:space="0"/>
              <w:left w:val="nil"/>
              <w:bottom w:val="single" w:color="auto" w:sz="8" w:space="0"/>
              <w:right w:val="single" w:color="000000" w:sz="8" w:space="0"/>
            </w:tcBorders>
            <w:shd w:val="clear" w:color="auto" w:fill="auto"/>
            <w:vAlign w:val="center"/>
          </w:tcPr>
          <w:p>
            <w:pPr>
              <w:keepNext w:val="0"/>
              <w:keepLines w:val="0"/>
              <w:pageBreakBefore w:val="0"/>
              <w:widowControl/>
              <w:kinsoku/>
              <w:wordWrap w:val="0"/>
              <w:overflowPunct/>
              <w:topLinePunct w:val="0"/>
              <w:autoSpaceDE/>
              <w:autoSpaceDN/>
              <w:bidi w:val="0"/>
              <w:adjustRightInd/>
              <w:snapToGrid/>
              <w:jc w:val="center"/>
              <w:textAlignment w:val="auto"/>
              <w:rPr>
                <w:rFonts w:hint="eastAsia" w:ascii="Times New Roman" w:hAnsi="Times New Roman" w:eastAsia="仿宋_GB2312" w:cs="Calibri"/>
                <w:color w:val="auto"/>
                <w:kern w:val="0"/>
                <w:szCs w:val="21"/>
                <w:lang w:eastAsia="zh-CN"/>
              </w:rPr>
            </w:pPr>
            <w:r>
              <w:rPr>
                <w:rFonts w:hint="eastAsia" w:ascii="Times New Roman" w:hAnsi="Times New Roman" w:eastAsia="仿宋_GB2312" w:cs="Calibri"/>
                <w:color w:val="auto"/>
                <w:kern w:val="0"/>
                <w:szCs w:val="21"/>
                <w:lang w:val="en-US" w:eastAsia="zh-CN"/>
              </w:rPr>
              <w:t>0</w:t>
            </w:r>
          </w:p>
        </w:tc>
      </w:tr>
      <w:tr>
        <w:tblPrEx>
          <w:tblLayout w:type="fixed"/>
          <w:tblCellMar>
            <w:top w:w="0" w:type="dxa"/>
            <w:left w:w="108" w:type="dxa"/>
            <w:bottom w:w="0" w:type="dxa"/>
            <w:right w:w="108" w:type="dxa"/>
          </w:tblCellMar>
        </w:tblPrEx>
        <w:trPr>
          <w:trHeight w:val="567" w:hRule="atLeast"/>
        </w:trPr>
        <w:tc>
          <w:tcPr>
            <w:tcW w:w="8824" w:type="dxa"/>
            <w:gridSpan w:val="4"/>
            <w:tcBorders>
              <w:top w:val="single" w:color="auto" w:sz="8" w:space="0"/>
              <w:left w:val="single" w:color="auto" w:sz="8" w:space="0"/>
              <w:bottom w:val="single" w:color="auto" w:sz="8" w:space="0"/>
              <w:right w:val="single" w:color="000000" w:sz="8" w:space="0"/>
            </w:tcBorders>
            <w:shd w:val="clear" w:color="000000" w:fill="C6D9F1"/>
            <w:vAlign w:val="center"/>
          </w:tcPr>
          <w:p>
            <w:pPr>
              <w:keepNext w:val="0"/>
              <w:keepLines w:val="0"/>
              <w:pageBreakBefore w:val="0"/>
              <w:widowControl/>
              <w:kinsoku/>
              <w:wordWrap w:val="0"/>
              <w:overflowPunct/>
              <w:topLinePunct w:val="0"/>
              <w:autoSpaceDE/>
              <w:autoSpaceDN/>
              <w:bidi w:val="0"/>
              <w:adjustRightInd/>
              <w:snapToGrid/>
              <w:jc w:val="center"/>
              <w:textAlignment w:val="auto"/>
              <w:rPr>
                <w:rFonts w:ascii="Times New Roman" w:hAnsi="Times New Roman" w:eastAsia="黑体" w:cs="宋体"/>
                <w:color w:val="000000"/>
                <w:kern w:val="0"/>
                <w:szCs w:val="21"/>
              </w:rPr>
            </w:pPr>
            <w:r>
              <w:rPr>
                <w:rFonts w:hint="eastAsia" w:ascii="Times New Roman" w:hAnsi="Times New Roman" w:eastAsia="黑体" w:cs="宋体"/>
                <w:color w:val="000000"/>
                <w:kern w:val="0"/>
                <w:szCs w:val="21"/>
              </w:rPr>
              <w:t>第二十条第（八）项</w:t>
            </w:r>
          </w:p>
        </w:tc>
      </w:tr>
      <w:tr>
        <w:tblPrEx>
          <w:tblLayout w:type="fixed"/>
          <w:tblCellMar>
            <w:top w:w="0" w:type="dxa"/>
            <w:left w:w="108" w:type="dxa"/>
            <w:bottom w:w="0" w:type="dxa"/>
            <w:right w:w="108" w:type="dxa"/>
          </w:tblCellMar>
        </w:tblPrEx>
        <w:trPr>
          <w:trHeight w:val="567" w:hRule="atLeast"/>
        </w:trPr>
        <w:tc>
          <w:tcPr>
            <w:tcW w:w="2206"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kinsoku/>
              <w:wordWrap w:val="0"/>
              <w:overflowPunct/>
              <w:topLinePunct w:val="0"/>
              <w:autoSpaceDE/>
              <w:autoSpaceDN/>
              <w:bidi w:val="0"/>
              <w:adjustRightInd/>
              <w:snapToGrid/>
              <w:jc w:val="center"/>
              <w:textAlignment w:val="auto"/>
              <w:rPr>
                <w:rFonts w:ascii="Times New Roman" w:hAnsi="Times New Roman" w:eastAsia="仿宋_GB2312" w:cs="宋体"/>
                <w:b/>
                <w:bCs/>
                <w:color w:val="000000"/>
                <w:kern w:val="0"/>
                <w:szCs w:val="21"/>
              </w:rPr>
            </w:pPr>
            <w:r>
              <w:rPr>
                <w:rFonts w:hint="eastAsia" w:ascii="Times New Roman" w:hAnsi="Times New Roman" w:eastAsia="仿宋_GB2312" w:cs="宋体"/>
                <w:b/>
                <w:bCs/>
                <w:color w:val="000000"/>
                <w:kern w:val="0"/>
                <w:szCs w:val="21"/>
              </w:rPr>
              <w:t>信息内容</w:t>
            </w:r>
          </w:p>
        </w:tc>
        <w:tc>
          <w:tcPr>
            <w:tcW w:w="6618" w:type="dxa"/>
            <w:gridSpan w:val="3"/>
            <w:tcBorders>
              <w:top w:val="single" w:color="auto" w:sz="8" w:space="0"/>
              <w:left w:val="nil"/>
              <w:bottom w:val="single" w:color="auto" w:sz="8" w:space="0"/>
              <w:right w:val="single" w:color="000000" w:sz="8" w:space="0"/>
            </w:tcBorders>
            <w:shd w:val="clear" w:color="auto" w:fill="auto"/>
            <w:vAlign w:val="center"/>
          </w:tcPr>
          <w:p>
            <w:pPr>
              <w:keepNext w:val="0"/>
              <w:keepLines w:val="0"/>
              <w:pageBreakBefore w:val="0"/>
              <w:widowControl/>
              <w:kinsoku/>
              <w:wordWrap w:val="0"/>
              <w:overflowPunct/>
              <w:topLinePunct w:val="0"/>
              <w:autoSpaceDE/>
              <w:autoSpaceDN/>
              <w:bidi w:val="0"/>
              <w:adjustRightInd/>
              <w:snapToGrid/>
              <w:jc w:val="center"/>
              <w:textAlignment w:val="auto"/>
              <w:rPr>
                <w:rFonts w:ascii="Times New Roman" w:hAnsi="Times New Roman" w:eastAsia="仿宋_GB2312" w:cs="宋体"/>
                <w:b/>
                <w:bCs/>
                <w:color w:val="000000"/>
                <w:kern w:val="0"/>
                <w:szCs w:val="21"/>
              </w:rPr>
            </w:pPr>
            <w:r>
              <w:rPr>
                <w:rFonts w:hint="eastAsia" w:ascii="Times New Roman" w:hAnsi="Times New Roman" w:eastAsia="仿宋_GB2312" w:cs="宋体"/>
                <w:b/>
                <w:bCs/>
                <w:color w:val="000000"/>
                <w:kern w:val="0"/>
                <w:szCs w:val="21"/>
              </w:rPr>
              <w:t>本年收费金额（单位：万元）</w:t>
            </w:r>
          </w:p>
        </w:tc>
      </w:tr>
      <w:tr>
        <w:tblPrEx>
          <w:tblLayout w:type="fixed"/>
          <w:tblCellMar>
            <w:top w:w="0" w:type="dxa"/>
            <w:left w:w="108" w:type="dxa"/>
            <w:bottom w:w="0" w:type="dxa"/>
            <w:right w:w="108" w:type="dxa"/>
          </w:tblCellMar>
        </w:tblPrEx>
        <w:trPr>
          <w:trHeight w:val="567" w:hRule="atLeast"/>
        </w:trPr>
        <w:tc>
          <w:tcPr>
            <w:tcW w:w="2206" w:type="dxa"/>
            <w:tcBorders>
              <w:top w:val="nil"/>
              <w:left w:val="single" w:color="auto" w:sz="8" w:space="0"/>
              <w:bottom w:val="single" w:color="auto" w:sz="8" w:space="0"/>
              <w:right w:val="single" w:color="auto" w:sz="8" w:space="0"/>
            </w:tcBorders>
            <w:shd w:val="clear" w:color="auto" w:fill="auto"/>
            <w:vAlign w:val="center"/>
          </w:tcPr>
          <w:p>
            <w:pPr>
              <w:keepNext w:val="0"/>
              <w:keepLines w:val="0"/>
              <w:pageBreakBefore w:val="0"/>
              <w:widowControl/>
              <w:kinsoku/>
              <w:wordWrap w:val="0"/>
              <w:overflowPunct/>
              <w:topLinePunct w:val="0"/>
              <w:autoSpaceDE/>
              <w:autoSpaceDN/>
              <w:bidi w:val="0"/>
              <w:adjustRightInd/>
              <w:snapToGrid/>
              <w:jc w:val="center"/>
              <w:textAlignment w:val="auto"/>
              <w:rPr>
                <w:rFonts w:ascii="Times New Roman" w:hAnsi="Times New Roman" w:eastAsia="仿宋_GB2312" w:cs="宋体"/>
                <w:color w:val="000000"/>
                <w:kern w:val="0"/>
                <w:szCs w:val="21"/>
              </w:rPr>
            </w:pPr>
            <w:r>
              <w:rPr>
                <w:rFonts w:hint="eastAsia" w:ascii="Times New Roman" w:hAnsi="Times New Roman" w:eastAsia="仿宋_GB2312" w:cs="宋体"/>
                <w:color w:val="000000"/>
                <w:kern w:val="0"/>
                <w:szCs w:val="21"/>
              </w:rPr>
              <w:t>行政事业性收费</w:t>
            </w:r>
          </w:p>
        </w:tc>
        <w:tc>
          <w:tcPr>
            <w:tcW w:w="6618" w:type="dxa"/>
            <w:gridSpan w:val="3"/>
            <w:tcBorders>
              <w:top w:val="single" w:color="auto" w:sz="8" w:space="0"/>
              <w:left w:val="nil"/>
              <w:bottom w:val="single" w:color="auto" w:sz="8" w:space="0"/>
              <w:right w:val="single" w:color="000000" w:sz="8" w:space="0"/>
            </w:tcBorders>
            <w:shd w:val="clear" w:color="auto" w:fill="auto"/>
            <w:vAlign w:val="center"/>
          </w:tcPr>
          <w:p>
            <w:pPr>
              <w:keepNext w:val="0"/>
              <w:keepLines w:val="0"/>
              <w:pageBreakBefore w:val="0"/>
              <w:widowControl/>
              <w:kinsoku/>
              <w:wordWrap w:val="0"/>
              <w:overflowPunct/>
              <w:topLinePunct w:val="0"/>
              <w:autoSpaceDE/>
              <w:autoSpaceDN/>
              <w:bidi w:val="0"/>
              <w:adjustRightInd/>
              <w:snapToGrid/>
              <w:jc w:val="center"/>
              <w:textAlignment w:val="auto"/>
              <w:rPr>
                <w:rFonts w:hint="eastAsia" w:ascii="Times New Roman" w:hAnsi="Times New Roman" w:eastAsia="仿宋_GB2312" w:cs="Calibri"/>
                <w:color w:val="000000"/>
                <w:kern w:val="0"/>
                <w:szCs w:val="21"/>
                <w:lang w:eastAsia="zh-CN"/>
              </w:rPr>
            </w:pPr>
            <w:r>
              <w:rPr>
                <w:rFonts w:hint="eastAsia" w:ascii="Times New Roman" w:hAnsi="Times New Roman" w:eastAsia="仿宋_GB2312" w:cs="Calibri"/>
                <w:color w:val="auto"/>
                <w:kern w:val="0"/>
                <w:szCs w:val="21"/>
                <w:lang w:val="en-US" w:eastAsia="zh-CN"/>
              </w:rPr>
              <w:t>0</w:t>
            </w:r>
          </w:p>
        </w:tc>
      </w:tr>
    </w:tbl>
    <w:p>
      <w:pPr>
        <w:keepNext w:val="0"/>
        <w:keepLines w:val="0"/>
        <w:pageBreakBefore w:val="0"/>
        <w:widowControl w:val="0"/>
        <w:kinsoku/>
        <w:wordWrap w:val="0"/>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Times New Roman" w:hAnsi="Times New Roman" w:eastAsia="黑体" w:cs="黑体"/>
          <w:b w:val="0"/>
          <w:bCs/>
          <w:i w:val="0"/>
          <w:caps w:val="0"/>
          <w:color w:val="333333"/>
          <w:spacing w:val="0"/>
          <w:kern w:val="0"/>
          <w:sz w:val="32"/>
          <w:szCs w:val="32"/>
          <w:shd w:val="clear" w:fill="FFFFFF"/>
          <w:lang w:val="en-US" w:eastAsia="zh-CN" w:bidi="ar"/>
        </w:rPr>
      </w:pPr>
      <w:r>
        <w:rPr>
          <w:rFonts w:hint="eastAsia" w:ascii="Times New Roman" w:hAnsi="Times New Roman" w:eastAsia="黑体" w:cs="黑体"/>
          <w:b w:val="0"/>
          <w:bCs/>
          <w:i w:val="0"/>
          <w:caps w:val="0"/>
          <w:color w:val="333333"/>
          <w:spacing w:val="0"/>
          <w:kern w:val="0"/>
          <w:sz w:val="32"/>
          <w:szCs w:val="32"/>
          <w:shd w:val="clear" w:fill="FFFFFF"/>
          <w:lang w:val="en-US" w:eastAsia="zh-CN" w:bidi="ar"/>
        </w:rPr>
        <w:t>三、收到和处理政府信息公开申请情况</w:t>
      </w:r>
    </w:p>
    <w:tbl>
      <w:tblPr>
        <w:tblStyle w:val="8"/>
        <w:tblW w:w="9541" w:type="dxa"/>
        <w:jc w:val="center"/>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416"/>
        <w:gridCol w:w="1701"/>
        <w:gridCol w:w="2976"/>
        <w:gridCol w:w="747"/>
        <w:gridCol w:w="5"/>
        <w:gridCol w:w="535"/>
        <w:gridCol w:w="5"/>
        <w:gridCol w:w="535"/>
        <w:gridCol w:w="720"/>
        <w:gridCol w:w="675"/>
        <w:gridCol w:w="525"/>
        <w:gridCol w:w="1"/>
        <w:gridCol w:w="70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413" w:hRule="atLeast"/>
          <w:jc w:val="center"/>
        </w:trPr>
        <w:tc>
          <w:tcPr>
            <w:tcW w:w="5093" w:type="dxa"/>
            <w:gridSpan w:val="3"/>
            <w:vMerge w:val="restart"/>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jc w:val="center"/>
              <w:textAlignment w:val="auto"/>
              <w:rPr>
                <w:rFonts w:ascii="Times New Roman" w:hAnsi="Times New Roman" w:eastAsia="楷体_GB2312"/>
                <w:kern w:val="0"/>
                <w:szCs w:val="21"/>
              </w:rPr>
            </w:pPr>
            <w:r>
              <w:rPr>
                <w:rFonts w:hint="eastAsia" w:ascii="Times New Roman" w:hAnsi="Times New Roman" w:eastAsia="楷体_GB2312"/>
                <w:kern w:val="0"/>
                <w:szCs w:val="21"/>
              </w:rPr>
              <w:t>（本列数据的勾稽关系为：第一项加第二项之和，</w:t>
            </w:r>
          </w:p>
          <w:p>
            <w:pPr>
              <w:keepNext w:val="0"/>
              <w:keepLines w:val="0"/>
              <w:pageBreakBefore w:val="0"/>
              <w:widowControl/>
              <w:kinsoku/>
              <w:wordWrap w:val="0"/>
              <w:overflowPunct/>
              <w:topLinePunct w:val="0"/>
              <w:autoSpaceDE/>
              <w:autoSpaceDN/>
              <w:bidi w:val="0"/>
              <w:adjustRightInd/>
              <w:snapToGrid/>
              <w:jc w:val="center"/>
              <w:textAlignment w:val="auto"/>
              <w:rPr>
                <w:rFonts w:ascii="Times New Roman" w:hAnsi="Times New Roman" w:eastAsia="仿宋_GB2312"/>
                <w:szCs w:val="21"/>
              </w:rPr>
            </w:pPr>
            <w:r>
              <w:rPr>
                <w:rFonts w:hint="eastAsia" w:ascii="Times New Roman" w:hAnsi="Times New Roman" w:eastAsia="楷体_GB2312"/>
                <w:kern w:val="0"/>
                <w:szCs w:val="21"/>
              </w:rPr>
              <w:t>等于第三项加第四项之和）</w:t>
            </w:r>
          </w:p>
        </w:tc>
        <w:tc>
          <w:tcPr>
            <w:tcW w:w="4448" w:type="dxa"/>
            <w:gridSpan w:val="10"/>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320" w:lineRule="exact"/>
              <w:jc w:val="center"/>
              <w:textAlignment w:val="auto"/>
              <w:rPr>
                <w:rFonts w:ascii="Times New Roman" w:hAnsi="Times New Roman" w:eastAsia="黑体"/>
                <w:szCs w:val="21"/>
              </w:rPr>
            </w:pPr>
            <w:r>
              <w:rPr>
                <w:rFonts w:hint="eastAsia" w:ascii="Times New Roman" w:hAnsi="Times New Roman" w:eastAsia="黑体"/>
                <w:kern w:val="0"/>
                <w:szCs w:val="21"/>
              </w:rPr>
              <w:t>申请人情况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425" w:hRule="atLeast"/>
          <w:jc w:val="center"/>
        </w:trPr>
        <w:tc>
          <w:tcPr>
            <w:tcW w:w="5093" w:type="dxa"/>
            <w:gridSpan w:val="3"/>
            <w:vMerge w:val="continue"/>
            <w:shd w:val="clear" w:color="auto" w:fill="auto"/>
            <w:tcMar>
              <w:left w:w="108" w:type="dxa"/>
              <w:right w:w="108" w:type="dxa"/>
            </w:tcMar>
            <w:vAlign w:val="center"/>
          </w:tcPr>
          <w:p>
            <w:pPr>
              <w:keepNext w:val="0"/>
              <w:keepLines w:val="0"/>
              <w:pageBreakBefore w:val="0"/>
              <w:kinsoku/>
              <w:wordWrap w:val="0"/>
              <w:overflowPunct/>
              <w:topLinePunct w:val="0"/>
              <w:autoSpaceDE/>
              <w:autoSpaceDN/>
              <w:bidi w:val="0"/>
              <w:adjustRightInd/>
              <w:snapToGrid/>
              <w:jc w:val="center"/>
              <w:textAlignment w:val="auto"/>
              <w:rPr>
                <w:rFonts w:ascii="Times New Roman" w:hAnsi="Times New Roman" w:eastAsia="仿宋_GB2312"/>
                <w:szCs w:val="21"/>
              </w:rPr>
            </w:pPr>
          </w:p>
        </w:tc>
        <w:tc>
          <w:tcPr>
            <w:tcW w:w="747" w:type="dxa"/>
            <w:vMerge w:val="restart"/>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jc w:val="center"/>
              <w:textAlignment w:val="auto"/>
              <w:rPr>
                <w:rFonts w:ascii="Times New Roman" w:hAnsi="Times New Roman" w:eastAsia="黑体"/>
                <w:szCs w:val="21"/>
              </w:rPr>
            </w:pPr>
            <w:r>
              <w:rPr>
                <w:rFonts w:hint="eastAsia" w:ascii="Times New Roman" w:hAnsi="Times New Roman" w:eastAsia="黑体"/>
                <w:kern w:val="0"/>
                <w:szCs w:val="21"/>
              </w:rPr>
              <w:t>自然人</w:t>
            </w:r>
          </w:p>
        </w:tc>
        <w:tc>
          <w:tcPr>
            <w:tcW w:w="3000" w:type="dxa"/>
            <w:gridSpan w:val="7"/>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320" w:lineRule="exact"/>
              <w:jc w:val="center"/>
              <w:textAlignment w:val="auto"/>
              <w:rPr>
                <w:rFonts w:ascii="Times New Roman" w:hAnsi="Times New Roman" w:eastAsia="黑体"/>
                <w:szCs w:val="21"/>
              </w:rPr>
            </w:pPr>
            <w:r>
              <w:rPr>
                <w:rFonts w:hint="eastAsia" w:ascii="Times New Roman" w:hAnsi="Times New Roman" w:eastAsia="黑体"/>
                <w:kern w:val="0"/>
                <w:szCs w:val="21"/>
              </w:rPr>
              <w:t>法人或其他组织</w:t>
            </w:r>
          </w:p>
        </w:tc>
        <w:tc>
          <w:tcPr>
            <w:tcW w:w="701" w:type="dxa"/>
            <w:gridSpan w:val="2"/>
            <w:vMerge w:val="restart"/>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jc w:val="center"/>
              <w:textAlignment w:val="auto"/>
              <w:rPr>
                <w:rFonts w:ascii="Times New Roman" w:hAnsi="Times New Roman" w:eastAsia="黑体"/>
                <w:szCs w:val="21"/>
              </w:rPr>
            </w:pPr>
            <w:r>
              <w:rPr>
                <w:rFonts w:hint="eastAsia" w:ascii="Times New Roman" w:hAnsi="Times New Roman" w:eastAsia="黑体"/>
                <w:kern w:val="0"/>
                <w:szCs w:val="21"/>
              </w:rPr>
              <w:t>总计</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322" w:hRule="atLeast"/>
          <w:jc w:val="center"/>
        </w:trPr>
        <w:tc>
          <w:tcPr>
            <w:tcW w:w="5093" w:type="dxa"/>
            <w:gridSpan w:val="3"/>
            <w:vMerge w:val="continue"/>
            <w:shd w:val="clear" w:color="auto" w:fill="auto"/>
            <w:tcMar>
              <w:left w:w="108" w:type="dxa"/>
              <w:right w:w="108" w:type="dxa"/>
            </w:tcMar>
            <w:vAlign w:val="center"/>
          </w:tcPr>
          <w:p>
            <w:pPr>
              <w:keepNext w:val="0"/>
              <w:keepLines w:val="0"/>
              <w:pageBreakBefore w:val="0"/>
              <w:kinsoku/>
              <w:wordWrap w:val="0"/>
              <w:overflowPunct/>
              <w:topLinePunct w:val="0"/>
              <w:autoSpaceDE/>
              <w:autoSpaceDN/>
              <w:bidi w:val="0"/>
              <w:adjustRightInd/>
              <w:snapToGrid/>
              <w:jc w:val="center"/>
              <w:textAlignment w:val="auto"/>
              <w:rPr>
                <w:rFonts w:ascii="Times New Roman" w:hAnsi="Times New Roman" w:eastAsia="仿宋_GB2312"/>
                <w:szCs w:val="21"/>
              </w:rPr>
            </w:pPr>
          </w:p>
        </w:tc>
        <w:tc>
          <w:tcPr>
            <w:tcW w:w="747" w:type="dxa"/>
            <w:vMerge w:val="continue"/>
            <w:shd w:val="clear" w:color="auto" w:fill="auto"/>
            <w:tcMar>
              <w:left w:w="108" w:type="dxa"/>
              <w:right w:w="108" w:type="dxa"/>
            </w:tcMar>
            <w:vAlign w:val="center"/>
          </w:tcPr>
          <w:p>
            <w:pPr>
              <w:keepNext w:val="0"/>
              <w:keepLines w:val="0"/>
              <w:pageBreakBefore w:val="0"/>
              <w:kinsoku/>
              <w:wordWrap w:val="0"/>
              <w:overflowPunct/>
              <w:topLinePunct w:val="0"/>
              <w:autoSpaceDE/>
              <w:autoSpaceDN/>
              <w:bidi w:val="0"/>
              <w:adjustRightInd/>
              <w:snapToGrid/>
              <w:jc w:val="center"/>
              <w:textAlignment w:val="auto"/>
              <w:rPr>
                <w:rFonts w:ascii="Times New Roman" w:hAnsi="Times New Roman" w:eastAsia="黑体"/>
                <w:szCs w:val="21"/>
              </w:rPr>
            </w:pPr>
          </w:p>
        </w:tc>
        <w:tc>
          <w:tcPr>
            <w:tcW w:w="540"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320" w:lineRule="exact"/>
              <w:ind w:left="-106" w:leftChars="-51" w:right="-107" w:rightChars="-51" w:hanging="1"/>
              <w:jc w:val="center"/>
              <w:textAlignment w:val="auto"/>
              <w:rPr>
                <w:rFonts w:ascii="Times New Roman" w:hAnsi="Times New Roman" w:eastAsia="黑体"/>
                <w:szCs w:val="21"/>
              </w:rPr>
            </w:pPr>
            <w:r>
              <w:rPr>
                <w:rFonts w:hint="eastAsia" w:ascii="Times New Roman" w:hAnsi="Times New Roman" w:eastAsia="黑体"/>
                <w:kern w:val="0"/>
                <w:szCs w:val="21"/>
              </w:rPr>
              <w:t>商业企业</w:t>
            </w:r>
          </w:p>
        </w:tc>
        <w:tc>
          <w:tcPr>
            <w:tcW w:w="540"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320" w:lineRule="exact"/>
              <w:ind w:left="-107" w:leftChars="-51" w:right="-107" w:rightChars="-51"/>
              <w:jc w:val="center"/>
              <w:textAlignment w:val="auto"/>
              <w:rPr>
                <w:rFonts w:ascii="Times New Roman" w:hAnsi="Times New Roman" w:eastAsia="黑体"/>
                <w:szCs w:val="21"/>
              </w:rPr>
            </w:pPr>
            <w:r>
              <w:rPr>
                <w:rFonts w:hint="eastAsia" w:ascii="Times New Roman" w:hAnsi="Times New Roman" w:eastAsia="黑体"/>
                <w:kern w:val="0"/>
                <w:szCs w:val="21"/>
              </w:rPr>
              <w:t>科研机构</w:t>
            </w:r>
          </w:p>
        </w:tc>
        <w:tc>
          <w:tcPr>
            <w:tcW w:w="720"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320" w:lineRule="exact"/>
              <w:ind w:left="-107" w:leftChars="-51" w:right="-107" w:rightChars="-51"/>
              <w:jc w:val="center"/>
              <w:textAlignment w:val="auto"/>
              <w:rPr>
                <w:rFonts w:ascii="Times New Roman" w:hAnsi="Times New Roman" w:eastAsia="黑体"/>
                <w:szCs w:val="21"/>
              </w:rPr>
            </w:pPr>
            <w:r>
              <w:rPr>
                <w:rFonts w:hint="eastAsia" w:ascii="Times New Roman" w:hAnsi="Times New Roman" w:eastAsia="黑体"/>
                <w:kern w:val="0"/>
                <w:szCs w:val="21"/>
              </w:rPr>
              <w:t>社会公益组织</w:t>
            </w:r>
          </w:p>
        </w:tc>
        <w:tc>
          <w:tcPr>
            <w:tcW w:w="675"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320" w:lineRule="exact"/>
              <w:ind w:left="-106" w:leftChars="-51" w:right="-107" w:rightChars="-51" w:hanging="1"/>
              <w:jc w:val="center"/>
              <w:textAlignment w:val="auto"/>
              <w:rPr>
                <w:rFonts w:ascii="Times New Roman" w:hAnsi="Times New Roman" w:eastAsia="黑体"/>
                <w:szCs w:val="21"/>
              </w:rPr>
            </w:pPr>
            <w:r>
              <w:rPr>
                <w:rFonts w:hint="eastAsia" w:ascii="Times New Roman" w:hAnsi="Times New Roman" w:eastAsia="黑体"/>
                <w:kern w:val="0"/>
                <w:szCs w:val="21"/>
              </w:rPr>
              <w:t>法律服务机构</w:t>
            </w:r>
          </w:p>
        </w:tc>
        <w:tc>
          <w:tcPr>
            <w:tcW w:w="525"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360" w:lineRule="exact"/>
              <w:ind w:left="-63" w:leftChars="-30" w:right="-134" w:rightChars="-64"/>
              <w:jc w:val="center"/>
              <w:textAlignment w:val="auto"/>
              <w:rPr>
                <w:rFonts w:ascii="Times New Roman" w:hAnsi="Times New Roman" w:eastAsia="黑体"/>
                <w:szCs w:val="21"/>
              </w:rPr>
            </w:pPr>
            <w:r>
              <w:rPr>
                <w:rFonts w:hint="eastAsia" w:ascii="Times New Roman" w:hAnsi="Times New Roman" w:eastAsia="黑体"/>
                <w:kern w:val="0"/>
                <w:szCs w:val="21"/>
              </w:rPr>
              <w:t>其他</w:t>
            </w:r>
          </w:p>
        </w:tc>
        <w:tc>
          <w:tcPr>
            <w:tcW w:w="701" w:type="dxa"/>
            <w:gridSpan w:val="2"/>
            <w:vMerge w:val="continue"/>
            <w:shd w:val="clear" w:color="auto" w:fill="auto"/>
            <w:tcMar>
              <w:left w:w="108" w:type="dxa"/>
              <w:right w:w="108" w:type="dxa"/>
            </w:tcMar>
            <w:vAlign w:val="center"/>
          </w:tcPr>
          <w:p>
            <w:pPr>
              <w:keepNext w:val="0"/>
              <w:keepLines w:val="0"/>
              <w:pageBreakBefore w:val="0"/>
              <w:kinsoku/>
              <w:wordWrap w:val="0"/>
              <w:overflowPunct/>
              <w:topLinePunct w:val="0"/>
              <w:autoSpaceDE/>
              <w:autoSpaceDN/>
              <w:bidi w:val="0"/>
              <w:adjustRightInd/>
              <w:snapToGrid/>
              <w:jc w:val="center"/>
              <w:textAlignment w:val="auto"/>
              <w:rPr>
                <w:rFonts w:ascii="Times New Roman" w:hAnsi="Times New Roman" w:eastAsia="仿宋_GB2312"/>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20" w:hRule="atLeast"/>
          <w:jc w:val="center"/>
        </w:trPr>
        <w:tc>
          <w:tcPr>
            <w:tcW w:w="5093" w:type="dxa"/>
            <w:gridSpan w:val="3"/>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textAlignment w:val="auto"/>
              <w:rPr>
                <w:rFonts w:ascii="Times New Roman" w:hAnsi="Times New Roman" w:eastAsia="黑体"/>
                <w:szCs w:val="21"/>
              </w:rPr>
            </w:pPr>
            <w:r>
              <w:rPr>
                <w:rFonts w:hint="eastAsia" w:ascii="Times New Roman" w:hAnsi="Times New Roman" w:eastAsia="黑体"/>
                <w:kern w:val="0"/>
                <w:szCs w:val="21"/>
              </w:rPr>
              <w:t>一、</w:t>
            </w:r>
            <w:bookmarkStart w:id="0" w:name="_Hlk66973412"/>
            <w:r>
              <w:rPr>
                <w:rFonts w:hint="eastAsia" w:ascii="Times New Roman" w:hAnsi="Times New Roman" w:eastAsia="黑体"/>
                <w:kern w:val="0"/>
                <w:szCs w:val="21"/>
              </w:rPr>
              <w:t>本年新收政府信息公开申请数量</w:t>
            </w:r>
            <w:bookmarkEnd w:id="0"/>
          </w:p>
        </w:tc>
        <w:tc>
          <w:tcPr>
            <w:tcW w:w="747"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hint="eastAsia" w:ascii="Times New Roman" w:hAnsi="Times New Roman" w:eastAsia="仿宋_GB2312"/>
                <w:color w:val="auto"/>
                <w:szCs w:val="21"/>
                <w:lang w:val="en-US" w:eastAsia="zh-CN"/>
              </w:rPr>
            </w:pPr>
            <w:r>
              <w:rPr>
                <w:rFonts w:hint="eastAsia" w:ascii="Times New Roman" w:hAnsi="Times New Roman" w:eastAsia="仿宋_GB2312"/>
                <w:color w:val="auto"/>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hint="eastAsia" w:ascii="Times New Roman" w:hAnsi="Times New Roman" w:eastAsia="仿宋_GB2312"/>
                <w:color w:val="auto"/>
                <w:szCs w:val="21"/>
                <w:lang w:val="en-US" w:eastAsia="zh-CN"/>
              </w:rPr>
            </w:pPr>
            <w:r>
              <w:rPr>
                <w:rFonts w:hint="eastAsia" w:ascii="Times New Roman" w:hAnsi="Times New Roman" w:eastAsia="仿宋_GB2312"/>
                <w:color w:val="auto"/>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hint="eastAsia" w:ascii="Times New Roman" w:hAnsi="Times New Roman" w:eastAsia="仿宋_GB2312"/>
                <w:color w:val="auto"/>
                <w:szCs w:val="21"/>
                <w:lang w:val="en-US" w:eastAsia="zh-CN"/>
              </w:rPr>
            </w:pPr>
            <w:r>
              <w:rPr>
                <w:rFonts w:hint="eastAsia" w:ascii="Times New Roman" w:hAnsi="Times New Roman" w:eastAsia="仿宋_GB2312"/>
                <w:color w:val="auto"/>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hint="eastAsia" w:ascii="Times New Roman" w:hAnsi="Times New Roman" w:eastAsia="仿宋_GB2312"/>
                <w:color w:val="auto"/>
                <w:szCs w:val="21"/>
                <w:lang w:val="en-US" w:eastAsia="zh-CN"/>
              </w:rPr>
            </w:pPr>
            <w:r>
              <w:rPr>
                <w:rFonts w:hint="eastAsia" w:ascii="Times New Roman" w:hAnsi="Times New Roman" w:eastAsia="仿宋_GB2312"/>
                <w:color w:val="auto"/>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hint="eastAsia" w:ascii="Times New Roman" w:hAnsi="Times New Roman" w:eastAsia="仿宋_GB2312"/>
                <w:color w:val="auto"/>
                <w:szCs w:val="21"/>
                <w:lang w:val="en-US" w:eastAsia="zh-CN"/>
              </w:rPr>
            </w:pPr>
            <w:r>
              <w:rPr>
                <w:rFonts w:hint="eastAsia" w:ascii="Times New Roman" w:hAnsi="Times New Roman" w:eastAsia="仿宋_GB2312"/>
                <w:color w:val="auto"/>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hint="eastAsia" w:ascii="Times New Roman" w:hAnsi="Times New Roman" w:eastAsia="仿宋_GB2312"/>
                <w:color w:val="auto"/>
                <w:szCs w:val="21"/>
                <w:lang w:val="en-US" w:eastAsia="zh-CN"/>
              </w:rPr>
            </w:pPr>
            <w:r>
              <w:rPr>
                <w:rFonts w:hint="eastAsia" w:ascii="Times New Roman" w:hAnsi="Times New Roman" w:eastAsia="仿宋_GB2312"/>
                <w:color w:val="auto"/>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hint="eastAsia" w:ascii="Times New Roman" w:hAnsi="Times New Roman" w:eastAsia="仿宋_GB2312"/>
                <w:color w:val="auto"/>
                <w:szCs w:val="21"/>
                <w:lang w:val="en-US" w:eastAsia="zh-CN"/>
              </w:rPr>
            </w:pPr>
            <w:r>
              <w:rPr>
                <w:rFonts w:hint="eastAsia" w:ascii="Times New Roman" w:hAnsi="Times New Roman" w:eastAsia="仿宋_GB2312"/>
                <w:color w:val="auto"/>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20" w:hRule="atLeast"/>
          <w:jc w:val="center"/>
        </w:trPr>
        <w:tc>
          <w:tcPr>
            <w:tcW w:w="5093" w:type="dxa"/>
            <w:gridSpan w:val="3"/>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textAlignment w:val="auto"/>
              <w:rPr>
                <w:rFonts w:ascii="Times New Roman" w:hAnsi="Times New Roman" w:eastAsia="黑体"/>
                <w:szCs w:val="21"/>
              </w:rPr>
            </w:pPr>
            <w:r>
              <w:rPr>
                <w:rFonts w:hint="eastAsia" w:ascii="Times New Roman" w:hAnsi="Times New Roman" w:eastAsia="黑体"/>
                <w:kern w:val="0"/>
                <w:szCs w:val="21"/>
              </w:rPr>
              <w:t>二、上年结转政府信息公开申请数量</w:t>
            </w:r>
          </w:p>
        </w:tc>
        <w:tc>
          <w:tcPr>
            <w:tcW w:w="747"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hint="eastAsia" w:ascii="Times New Roman" w:hAnsi="Times New Roman" w:eastAsia="仿宋_GB2312"/>
                <w:color w:val="auto"/>
                <w:szCs w:val="21"/>
                <w:lang w:val="en-US" w:eastAsia="zh-CN"/>
              </w:rPr>
            </w:pPr>
            <w:r>
              <w:rPr>
                <w:rFonts w:hint="eastAsia" w:ascii="Times New Roman" w:hAnsi="Times New Roman" w:eastAsia="仿宋_GB2312"/>
                <w:color w:val="auto"/>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hint="eastAsia" w:ascii="Times New Roman" w:hAnsi="Times New Roman" w:eastAsia="仿宋_GB2312"/>
                <w:color w:val="auto"/>
                <w:szCs w:val="21"/>
                <w:lang w:val="en-US" w:eastAsia="zh-CN"/>
              </w:rPr>
            </w:pPr>
            <w:r>
              <w:rPr>
                <w:rFonts w:hint="eastAsia" w:ascii="Times New Roman" w:hAnsi="Times New Roman" w:eastAsia="仿宋_GB2312"/>
                <w:color w:val="auto"/>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hint="eastAsia" w:ascii="Times New Roman" w:hAnsi="Times New Roman" w:eastAsia="仿宋_GB2312"/>
                <w:color w:val="auto"/>
                <w:szCs w:val="21"/>
                <w:lang w:val="en-US" w:eastAsia="zh-CN"/>
              </w:rPr>
            </w:pPr>
            <w:r>
              <w:rPr>
                <w:rFonts w:hint="eastAsia" w:ascii="Times New Roman" w:hAnsi="Times New Roman" w:eastAsia="仿宋_GB2312"/>
                <w:color w:val="auto"/>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hint="eastAsia" w:ascii="Times New Roman" w:hAnsi="Times New Roman" w:eastAsia="仿宋_GB2312"/>
                <w:color w:val="auto"/>
                <w:szCs w:val="21"/>
                <w:lang w:val="en-US" w:eastAsia="zh-CN"/>
              </w:rPr>
            </w:pPr>
            <w:r>
              <w:rPr>
                <w:rFonts w:hint="eastAsia" w:ascii="Times New Roman" w:hAnsi="Times New Roman" w:eastAsia="仿宋_GB2312"/>
                <w:color w:val="auto"/>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hint="eastAsia" w:ascii="Times New Roman" w:hAnsi="Times New Roman" w:eastAsia="仿宋_GB2312"/>
                <w:color w:val="auto"/>
                <w:szCs w:val="21"/>
                <w:lang w:val="en-US" w:eastAsia="zh-CN"/>
              </w:rPr>
            </w:pPr>
            <w:r>
              <w:rPr>
                <w:rFonts w:hint="eastAsia" w:ascii="Times New Roman" w:hAnsi="Times New Roman" w:eastAsia="仿宋_GB2312"/>
                <w:color w:val="auto"/>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hint="eastAsia" w:ascii="Times New Roman" w:hAnsi="Times New Roman" w:eastAsia="仿宋_GB2312"/>
                <w:color w:val="auto"/>
                <w:szCs w:val="21"/>
                <w:lang w:val="en-US" w:eastAsia="zh-CN"/>
              </w:rPr>
            </w:pPr>
            <w:r>
              <w:rPr>
                <w:rFonts w:hint="eastAsia" w:ascii="Times New Roman" w:hAnsi="Times New Roman" w:eastAsia="仿宋_GB2312"/>
                <w:color w:val="auto"/>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hint="eastAsia" w:ascii="Times New Roman" w:hAnsi="Times New Roman" w:eastAsia="仿宋_GB2312"/>
                <w:color w:val="auto"/>
                <w:szCs w:val="21"/>
                <w:lang w:val="en-US" w:eastAsia="zh-CN"/>
              </w:rPr>
            </w:pPr>
            <w:r>
              <w:rPr>
                <w:rFonts w:hint="eastAsia" w:ascii="Times New Roman" w:hAnsi="Times New Roman" w:eastAsia="仿宋_GB2312"/>
                <w:color w:val="auto"/>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416" w:type="dxa"/>
            <w:vMerge w:val="restart"/>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after="180"/>
              <w:textAlignment w:val="auto"/>
              <w:rPr>
                <w:rFonts w:ascii="Times New Roman" w:hAnsi="Times New Roman" w:eastAsia="黑体"/>
                <w:szCs w:val="21"/>
              </w:rPr>
            </w:pPr>
            <w:r>
              <w:rPr>
                <w:rFonts w:hint="eastAsia" w:ascii="Times New Roman" w:hAnsi="Times New Roman" w:eastAsia="黑体"/>
                <w:kern w:val="0"/>
                <w:szCs w:val="21"/>
              </w:rPr>
              <w:t>三、本年度办理结果</w:t>
            </w:r>
          </w:p>
        </w:tc>
        <w:tc>
          <w:tcPr>
            <w:tcW w:w="4677"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textAlignment w:val="auto"/>
              <w:rPr>
                <w:rFonts w:ascii="Times New Roman" w:hAnsi="Times New Roman" w:eastAsia="黑体"/>
                <w:szCs w:val="21"/>
              </w:rPr>
            </w:pPr>
            <w:r>
              <w:rPr>
                <w:rFonts w:hint="eastAsia" w:ascii="Times New Roman" w:hAnsi="Times New Roman" w:eastAsia="黑体"/>
                <w:kern w:val="0"/>
                <w:szCs w:val="21"/>
              </w:rPr>
              <w:t>（一）予以公开</w:t>
            </w:r>
          </w:p>
        </w:tc>
        <w:tc>
          <w:tcPr>
            <w:tcW w:w="752"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hint="eastAsia" w:ascii="Times New Roman" w:hAnsi="Times New Roman" w:eastAsia="仿宋_GB2312"/>
                <w:color w:val="auto"/>
                <w:szCs w:val="21"/>
                <w:lang w:val="en-US" w:eastAsia="zh-CN"/>
              </w:rPr>
            </w:pPr>
            <w:r>
              <w:rPr>
                <w:rFonts w:hint="eastAsia" w:ascii="Times New Roman" w:hAnsi="Times New Roman" w:eastAsia="仿宋_GB2312"/>
                <w:color w:val="auto"/>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hint="default" w:ascii="Times New Roman" w:hAnsi="Times New Roman" w:eastAsia="仿宋_GB2312"/>
                <w:color w:val="auto"/>
                <w:szCs w:val="21"/>
                <w:lang w:val="en-US" w:eastAsia="zh-CN"/>
              </w:rPr>
            </w:pPr>
            <w:r>
              <w:rPr>
                <w:rFonts w:hint="eastAsia" w:ascii="Times New Roman" w:hAnsi="Times New Roman" w:eastAsia="仿宋_GB2312"/>
                <w:color w:val="auto"/>
                <w:szCs w:val="21"/>
                <w:lang w:val="en-US" w:eastAsia="zh-CN"/>
              </w:rPr>
              <w:t>0</w:t>
            </w:r>
          </w:p>
        </w:tc>
        <w:tc>
          <w:tcPr>
            <w:tcW w:w="535"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hint="eastAsia" w:ascii="Times New Roman" w:hAnsi="Times New Roman" w:eastAsia="仿宋_GB2312"/>
                <w:color w:val="auto"/>
                <w:szCs w:val="21"/>
                <w:lang w:val="en-US" w:eastAsia="zh-CN"/>
              </w:rPr>
            </w:pPr>
            <w:r>
              <w:rPr>
                <w:rFonts w:hint="eastAsia" w:ascii="Times New Roman" w:hAnsi="Times New Roman" w:eastAsia="仿宋_GB2312"/>
                <w:color w:val="auto"/>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hint="eastAsia" w:ascii="Times New Roman" w:hAnsi="Times New Roman" w:eastAsia="仿宋_GB2312"/>
                <w:color w:val="auto"/>
                <w:szCs w:val="21"/>
                <w:lang w:val="en-US" w:eastAsia="zh-CN"/>
              </w:rPr>
            </w:pPr>
            <w:r>
              <w:rPr>
                <w:rFonts w:hint="eastAsia" w:ascii="Times New Roman" w:hAnsi="Times New Roman" w:eastAsia="仿宋_GB2312"/>
                <w:color w:val="auto"/>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hint="eastAsia" w:ascii="Times New Roman" w:hAnsi="Times New Roman" w:eastAsia="仿宋_GB2312"/>
                <w:color w:val="auto"/>
                <w:szCs w:val="21"/>
                <w:lang w:val="en-US" w:eastAsia="zh-CN"/>
              </w:rPr>
            </w:pPr>
            <w:r>
              <w:rPr>
                <w:rFonts w:hint="eastAsia" w:ascii="Times New Roman" w:hAnsi="Times New Roman" w:eastAsia="仿宋_GB2312"/>
                <w:color w:val="auto"/>
                <w:szCs w:val="21"/>
                <w:lang w:val="en-US" w:eastAsia="zh-CN"/>
              </w:rPr>
              <w:t>0</w:t>
            </w:r>
          </w:p>
        </w:tc>
        <w:tc>
          <w:tcPr>
            <w:tcW w:w="526"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hint="eastAsia" w:ascii="Times New Roman" w:hAnsi="Times New Roman" w:eastAsia="仿宋_GB2312"/>
                <w:color w:val="auto"/>
                <w:szCs w:val="21"/>
                <w:lang w:val="en-US" w:eastAsia="zh-CN"/>
              </w:rPr>
            </w:pPr>
            <w:r>
              <w:rPr>
                <w:rFonts w:hint="eastAsia" w:ascii="Times New Roman" w:hAnsi="Times New Roman" w:eastAsia="仿宋_GB2312"/>
                <w:color w:val="auto"/>
                <w:szCs w:val="21"/>
                <w:lang w:val="en-US" w:eastAsia="zh-CN"/>
              </w:rPr>
              <w:t>0</w:t>
            </w:r>
          </w:p>
        </w:tc>
        <w:tc>
          <w:tcPr>
            <w:tcW w:w="700"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hint="eastAsia" w:ascii="Times New Roman" w:hAnsi="Times New Roman" w:eastAsia="仿宋_GB2312"/>
                <w:color w:val="auto"/>
                <w:szCs w:val="21"/>
                <w:lang w:val="en-US" w:eastAsia="zh-CN"/>
              </w:rPr>
            </w:pPr>
            <w:r>
              <w:rPr>
                <w:rFonts w:hint="eastAsia" w:ascii="Times New Roman" w:hAnsi="Times New Roman" w:eastAsia="仿宋_GB2312"/>
                <w:color w:val="auto"/>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416" w:type="dxa"/>
            <w:vMerge w:val="continue"/>
            <w:shd w:val="clear" w:color="auto" w:fill="auto"/>
            <w:tcMar>
              <w:left w:w="108" w:type="dxa"/>
              <w:right w:w="108" w:type="dxa"/>
            </w:tcMar>
            <w:vAlign w:val="center"/>
          </w:tcPr>
          <w:p>
            <w:pPr>
              <w:keepNext w:val="0"/>
              <w:keepLines w:val="0"/>
              <w:pageBreakBefore w:val="0"/>
              <w:kinsoku/>
              <w:wordWrap w:val="0"/>
              <w:overflowPunct/>
              <w:topLinePunct w:val="0"/>
              <w:autoSpaceDE/>
              <w:autoSpaceDN/>
              <w:bidi w:val="0"/>
              <w:adjustRightInd/>
              <w:snapToGrid/>
              <w:textAlignment w:val="auto"/>
              <w:rPr>
                <w:rFonts w:ascii="Times New Roman" w:hAnsi="Times New Roman" w:eastAsia="黑体"/>
                <w:szCs w:val="21"/>
              </w:rPr>
            </w:pPr>
          </w:p>
        </w:tc>
        <w:tc>
          <w:tcPr>
            <w:tcW w:w="4677"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textAlignment w:val="auto"/>
              <w:rPr>
                <w:rFonts w:ascii="Times New Roman" w:hAnsi="Times New Roman" w:eastAsia="黑体"/>
                <w:szCs w:val="21"/>
              </w:rPr>
            </w:pPr>
            <w:r>
              <w:rPr>
                <w:rFonts w:hint="eastAsia" w:ascii="Times New Roman" w:hAnsi="Times New Roman" w:eastAsia="黑体"/>
                <w:kern w:val="0"/>
                <w:szCs w:val="21"/>
              </w:rPr>
              <w:t>（二）部分公开（</w:t>
            </w:r>
            <w:bookmarkStart w:id="1" w:name="_Hlk66973981"/>
            <w:r>
              <w:rPr>
                <w:rFonts w:hint="eastAsia" w:ascii="Times New Roman" w:hAnsi="Times New Roman" w:eastAsia="黑体"/>
                <w:kern w:val="0"/>
                <w:szCs w:val="21"/>
              </w:rPr>
              <w:t>区分处理的，只计这一情形，不计其他情形</w:t>
            </w:r>
            <w:bookmarkEnd w:id="1"/>
            <w:r>
              <w:rPr>
                <w:rFonts w:hint="eastAsia" w:ascii="Times New Roman" w:hAnsi="Times New Roman" w:eastAsia="黑体"/>
                <w:kern w:val="0"/>
                <w:szCs w:val="21"/>
              </w:rPr>
              <w:t>）</w:t>
            </w:r>
          </w:p>
        </w:tc>
        <w:tc>
          <w:tcPr>
            <w:tcW w:w="752"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hint="eastAsia" w:ascii="Times New Roman" w:hAnsi="Times New Roman" w:eastAsia="仿宋_GB2312"/>
                <w:color w:val="auto"/>
                <w:szCs w:val="21"/>
                <w:lang w:val="en-US" w:eastAsia="zh-CN"/>
              </w:rPr>
            </w:pPr>
            <w:r>
              <w:rPr>
                <w:rFonts w:hint="eastAsia" w:ascii="Times New Roman" w:hAnsi="Times New Roman" w:eastAsia="仿宋_GB2312"/>
                <w:color w:val="auto"/>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hint="default" w:ascii="Times New Roman" w:hAnsi="Times New Roman" w:eastAsia="仿宋_GB2312"/>
                <w:color w:val="auto"/>
                <w:szCs w:val="21"/>
                <w:lang w:val="en-US" w:eastAsia="zh-CN"/>
              </w:rPr>
            </w:pPr>
            <w:r>
              <w:rPr>
                <w:rFonts w:hint="eastAsia" w:ascii="Times New Roman" w:hAnsi="Times New Roman" w:eastAsia="仿宋_GB2312"/>
                <w:color w:val="auto"/>
                <w:szCs w:val="21"/>
                <w:lang w:val="en-US" w:eastAsia="zh-CN"/>
              </w:rPr>
              <w:t>0</w:t>
            </w:r>
          </w:p>
        </w:tc>
        <w:tc>
          <w:tcPr>
            <w:tcW w:w="535"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hint="eastAsia" w:ascii="Times New Roman" w:hAnsi="Times New Roman" w:eastAsia="仿宋_GB2312"/>
                <w:color w:val="auto"/>
                <w:szCs w:val="21"/>
                <w:lang w:val="en-US" w:eastAsia="zh-CN"/>
              </w:rPr>
            </w:pPr>
            <w:r>
              <w:rPr>
                <w:rFonts w:hint="eastAsia" w:ascii="Times New Roman" w:hAnsi="Times New Roman" w:eastAsia="仿宋_GB2312"/>
                <w:color w:val="auto"/>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hint="eastAsia" w:ascii="Times New Roman" w:hAnsi="Times New Roman" w:eastAsia="仿宋_GB2312"/>
                <w:color w:val="auto"/>
                <w:szCs w:val="21"/>
                <w:lang w:val="en-US" w:eastAsia="zh-CN"/>
              </w:rPr>
            </w:pPr>
            <w:r>
              <w:rPr>
                <w:rFonts w:hint="eastAsia" w:ascii="Times New Roman" w:hAnsi="Times New Roman" w:eastAsia="仿宋_GB2312"/>
                <w:color w:val="auto"/>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hint="eastAsia" w:ascii="Times New Roman" w:hAnsi="Times New Roman" w:eastAsia="仿宋_GB2312"/>
                <w:color w:val="auto"/>
                <w:szCs w:val="21"/>
                <w:lang w:val="en-US" w:eastAsia="zh-CN"/>
              </w:rPr>
            </w:pPr>
            <w:r>
              <w:rPr>
                <w:rFonts w:hint="eastAsia" w:ascii="Times New Roman" w:hAnsi="Times New Roman" w:eastAsia="仿宋_GB2312"/>
                <w:color w:val="auto"/>
                <w:szCs w:val="21"/>
                <w:lang w:val="en-US" w:eastAsia="zh-CN"/>
              </w:rPr>
              <w:t>0</w:t>
            </w:r>
          </w:p>
        </w:tc>
        <w:tc>
          <w:tcPr>
            <w:tcW w:w="526"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hint="eastAsia" w:ascii="Times New Roman" w:hAnsi="Times New Roman" w:eastAsia="仿宋_GB2312"/>
                <w:color w:val="auto"/>
                <w:szCs w:val="21"/>
                <w:lang w:val="en-US" w:eastAsia="zh-CN"/>
              </w:rPr>
            </w:pPr>
            <w:r>
              <w:rPr>
                <w:rFonts w:hint="eastAsia" w:ascii="Times New Roman" w:hAnsi="Times New Roman" w:eastAsia="仿宋_GB2312"/>
                <w:color w:val="auto"/>
                <w:szCs w:val="21"/>
                <w:lang w:val="en-US" w:eastAsia="zh-CN"/>
              </w:rPr>
              <w:t>0</w:t>
            </w:r>
          </w:p>
        </w:tc>
        <w:tc>
          <w:tcPr>
            <w:tcW w:w="700"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hint="eastAsia" w:ascii="Times New Roman" w:hAnsi="Times New Roman" w:eastAsia="仿宋_GB2312"/>
                <w:color w:val="auto"/>
                <w:szCs w:val="21"/>
                <w:lang w:val="en-US" w:eastAsia="zh-CN"/>
              </w:rPr>
            </w:pPr>
            <w:r>
              <w:rPr>
                <w:rFonts w:hint="eastAsia" w:ascii="Times New Roman" w:hAnsi="Times New Roman" w:eastAsia="仿宋_GB2312"/>
                <w:color w:val="auto"/>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454" w:hRule="exact"/>
          <w:jc w:val="center"/>
        </w:trPr>
        <w:tc>
          <w:tcPr>
            <w:tcW w:w="416" w:type="dxa"/>
            <w:vMerge w:val="continue"/>
            <w:shd w:val="clear" w:color="auto" w:fill="auto"/>
            <w:tcMar>
              <w:left w:w="108" w:type="dxa"/>
              <w:right w:w="108" w:type="dxa"/>
            </w:tcMar>
            <w:vAlign w:val="center"/>
          </w:tcPr>
          <w:p>
            <w:pPr>
              <w:keepNext w:val="0"/>
              <w:keepLines w:val="0"/>
              <w:pageBreakBefore w:val="0"/>
              <w:kinsoku/>
              <w:wordWrap w:val="0"/>
              <w:overflowPunct/>
              <w:topLinePunct w:val="0"/>
              <w:autoSpaceDE/>
              <w:autoSpaceDN/>
              <w:bidi w:val="0"/>
              <w:adjustRightInd/>
              <w:snapToGrid/>
              <w:textAlignment w:val="auto"/>
              <w:rPr>
                <w:rFonts w:ascii="Times New Roman" w:hAnsi="Times New Roman" w:eastAsia="黑体"/>
                <w:szCs w:val="21"/>
              </w:rPr>
            </w:pPr>
          </w:p>
        </w:tc>
        <w:tc>
          <w:tcPr>
            <w:tcW w:w="1701" w:type="dxa"/>
            <w:vMerge w:val="restart"/>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00" w:lineRule="exact"/>
              <w:ind w:left="-107" w:leftChars="-51"/>
              <w:textAlignment w:val="auto"/>
              <w:rPr>
                <w:rFonts w:ascii="Times New Roman" w:hAnsi="Times New Roman" w:eastAsia="黑体"/>
                <w:szCs w:val="21"/>
              </w:rPr>
            </w:pPr>
            <w:r>
              <w:rPr>
                <w:rFonts w:hint="eastAsia" w:ascii="Times New Roman" w:hAnsi="Times New Roman" w:eastAsia="黑体"/>
                <w:kern w:val="0"/>
                <w:szCs w:val="21"/>
              </w:rPr>
              <w:t>（三）不予公开</w:t>
            </w:r>
          </w:p>
        </w:tc>
        <w:tc>
          <w:tcPr>
            <w:tcW w:w="2976"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00" w:lineRule="exact"/>
              <w:textAlignment w:val="auto"/>
              <w:rPr>
                <w:rFonts w:ascii="Times New Roman" w:hAnsi="Times New Roman" w:eastAsia="仿宋_GB2312"/>
                <w:kern w:val="0"/>
                <w:szCs w:val="21"/>
              </w:rPr>
            </w:pPr>
            <w:r>
              <w:rPr>
                <w:rFonts w:hint="eastAsia" w:ascii="Times New Roman" w:hAnsi="Times New Roman" w:eastAsia="仿宋_GB2312"/>
                <w:kern w:val="0"/>
                <w:szCs w:val="21"/>
              </w:rPr>
              <w:t>1.属于国家秘密</w:t>
            </w:r>
          </w:p>
        </w:tc>
        <w:tc>
          <w:tcPr>
            <w:tcW w:w="747"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454" w:hRule="exact"/>
          <w:jc w:val="center"/>
        </w:trPr>
        <w:tc>
          <w:tcPr>
            <w:tcW w:w="416" w:type="dxa"/>
            <w:vMerge w:val="continue"/>
            <w:shd w:val="clear" w:color="auto" w:fill="auto"/>
            <w:tcMar>
              <w:left w:w="108" w:type="dxa"/>
              <w:right w:w="108" w:type="dxa"/>
            </w:tcMar>
            <w:vAlign w:val="center"/>
          </w:tcPr>
          <w:p>
            <w:pPr>
              <w:keepNext w:val="0"/>
              <w:keepLines w:val="0"/>
              <w:pageBreakBefore w:val="0"/>
              <w:kinsoku/>
              <w:wordWrap w:val="0"/>
              <w:overflowPunct/>
              <w:topLinePunct w:val="0"/>
              <w:autoSpaceDE/>
              <w:autoSpaceDN/>
              <w:bidi w:val="0"/>
              <w:adjustRightInd/>
              <w:snapToGrid/>
              <w:textAlignment w:val="auto"/>
              <w:rPr>
                <w:rFonts w:ascii="Times New Roman" w:hAnsi="Times New Roman" w:eastAsia="黑体"/>
                <w:szCs w:val="21"/>
              </w:rPr>
            </w:pPr>
          </w:p>
        </w:tc>
        <w:tc>
          <w:tcPr>
            <w:tcW w:w="1701" w:type="dxa"/>
            <w:vMerge w:val="continue"/>
            <w:shd w:val="clear" w:color="auto" w:fill="auto"/>
            <w:tcMar>
              <w:left w:w="108" w:type="dxa"/>
              <w:right w:w="108" w:type="dxa"/>
            </w:tcMar>
            <w:vAlign w:val="center"/>
          </w:tcPr>
          <w:p>
            <w:pPr>
              <w:keepNext w:val="0"/>
              <w:keepLines w:val="0"/>
              <w:pageBreakBefore w:val="0"/>
              <w:kinsoku/>
              <w:wordWrap w:val="0"/>
              <w:overflowPunct/>
              <w:topLinePunct w:val="0"/>
              <w:autoSpaceDE/>
              <w:autoSpaceDN/>
              <w:bidi w:val="0"/>
              <w:adjustRightInd/>
              <w:snapToGrid/>
              <w:spacing w:line="200" w:lineRule="exact"/>
              <w:textAlignment w:val="auto"/>
              <w:rPr>
                <w:rFonts w:ascii="Times New Roman" w:hAnsi="Times New Roman" w:eastAsia="黑体"/>
                <w:szCs w:val="21"/>
              </w:rPr>
            </w:pPr>
          </w:p>
        </w:tc>
        <w:tc>
          <w:tcPr>
            <w:tcW w:w="2976"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00" w:lineRule="exact"/>
              <w:textAlignment w:val="auto"/>
              <w:rPr>
                <w:rFonts w:ascii="Times New Roman" w:hAnsi="Times New Roman" w:eastAsia="仿宋_GB2312"/>
                <w:kern w:val="0"/>
                <w:szCs w:val="21"/>
              </w:rPr>
            </w:pPr>
            <w:r>
              <w:rPr>
                <w:rFonts w:hint="eastAsia" w:ascii="Times New Roman" w:hAnsi="Times New Roman" w:eastAsia="仿宋_GB2312"/>
                <w:kern w:val="0"/>
                <w:szCs w:val="21"/>
              </w:rPr>
              <w:t>2.</w:t>
            </w:r>
            <w:bookmarkStart w:id="2" w:name="_Hlk66974104"/>
            <w:r>
              <w:rPr>
                <w:rFonts w:hint="eastAsia" w:ascii="Times New Roman" w:hAnsi="Times New Roman" w:eastAsia="仿宋_GB2312"/>
                <w:kern w:val="0"/>
                <w:szCs w:val="21"/>
              </w:rPr>
              <w:t>其他法律行政法规禁止公开</w:t>
            </w:r>
            <w:bookmarkEnd w:id="2"/>
          </w:p>
        </w:tc>
        <w:tc>
          <w:tcPr>
            <w:tcW w:w="747"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454" w:hRule="exact"/>
          <w:jc w:val="center"/>
        </w:trPr>
        <w:tc>
          <w:tcPr>
            <w:tcW w:w="416" w:type="dxa"/>
            <w:vMerge w:val="continue"/>
            <w:shd w:val="clear" w:color="auto" w:fill="auto"/>
            <w:tcMar>
              <w:left w:w="108" w:type="dxa"/>
              <w:right w:w="108" w:type="dxa"/>
            </w:tcMar>
            <w:vAlign w:val="center"/>
          </w:tcPr>
          <w:p>
            <w:pPr>
              <w:keepNext w:val="0"/>
              <w:keepLines w:val="0"/>
              <w:pageBreakBefore w:val="0"/>
              <w:kinsoku/>
              <w:wordWrap w:val="0"/>
              <w:overflowPunct/>
              <w:topLinePunct w:val="0"/>
              <w:autoSpaceDE/>
              <w:autoSpaceDN/>
              <w:bidi w:val="0"/>
              <w:adjustRightInd/>
              <w:snapToGrid/>
              <w:textAlignment w:val="auto"/>
              <w:rPr>
                <w:rFonts w:ascii="Times New Roman" w:hAnsi="Times New Roman" w:eastAsia="黑体"/>
                <w:szCs w:val="21"/>
              </w:rPr>
            </w:pPr>
          </w:p>
        </w:tc>
        <w:tc>
          <w:tcPr>
            <w:tcW w:w="1701" w:type="dxa"/>
            <w:vMerge w:val="continue"/>
            <w:shd w:val="clear" w:color="auto" w:fill="auto"/>
            <w:tcMar>
              <w:left w:w="108" w:type="dxa"/>
              <w:right w:w="108" w:type="dxa"/>
            </w:tcMar>
            <w:vAlign w:val="center"/>
          </w:tcPr>
          <w:p>
            <w:pPr>
              <w:keepNext w:val="0"/>
              <w:keepLines w:val="0"/>
              <w:pageBreakBefore w:val="0"/>
              <w:kinsoku/>
              <w:wordWrap w:val="0"/>
              <w:overflowPunct/>
              <w:topLinePunct w:val="0"/>
              <w:autoSpaceDE/>
              <w:autoSpaceDN/>
              <w:bidi w:val="0"/>
              <w:adjustRightInd/>
              <w:snapToGrid/>
              <w:spacing w:line="200" w:lineRule="exact"/>
              <w:textAlignment w:val="auto"/>
              <w:rPr>
                <w:rFonts w:ascii="Times New Roman" w:hAnsi="Times New Roman" w:eastAsia="黑体"/>
                <w:szCs w:val="21"/>
              </w:rPr>
            </w:pPr>
          </w:p>
        </w:tc>
        <w:tc>
          <w:tcPr>
            <w:tcW w:w="2976"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00" w:lineRule="exact"/>
              <w:textAlignment w:val="auto"/>
              <w:rPr>
                <w:rFonts w:ascii="Times New Roman" w:hAnsi="Times New Roman" w:eastAsia="仿宋_GB2312"/>
                <w:kern w:val="0"/>
                <w:szCs w:val="21"/>
              </w:rPr>
            </w:pPr>
            <w:r>
              <w:rPr>
                <w:rFonts w:hint="eastAsia" w:ascii="Times New Roman" w:hAnsi="Times New Roman" w:eastAsia="仿宋_GB2312"/>
                <w:kern w:val="0"/>
                <w:szCs w:val="21"/>
              </w:rPr>
              <w:t>3.危及“三安全一稳定”</w:t>
            </w:r>
          </w:p>
        </w:tc>
        <w:tc>
          <w:tcPr>
            <w:tcW w:w="747"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454" w:hRule="exact"/>
          <w:jc w:val="center"/>
        </w:trPr>
        <w:tc>
          <w:tcPr>
            <w:tcW w:w="416" w:type="dxa"/>
            <w:vMerge w:val="continue"/>
            <w:shd w:val="clear" w:color="auto" w:fill="auto"/>
            <w:tcMar>
              <w:left w:w="108" w:type="dxa"/>
              <w:right w:w="108" w:type="dxa"/>
            </w:tcMar>
            <w:vAlign w:val="center"/>
          </w:tcPr>
          <w:p>
            <w:pPr>
              <w:keepNext w:val="0"/>
              <w:keepLines w:val="0"/>
              <w:pageBreakBefore w:val="0"/>
              <w:kinsoku/>
              <w:wordWrap w:val="0"/>
              <w:overflowPunct/>
              <w:topLinePunct w:val="0"/>
              <w:autoSpaceDE/>
              <w:autoSpaceDN/>
              <w:bidi w:val="0"/>
              <w:adjustRightInd/>
              <w:snapToGrid/>
              <w:textAlignment w:val="auto"/>
              <w:rPr>
                <w:rFonts w:ascii="Times New Roman" w:hAnsi="Times New Roman" w:eastAsia="黑体"/>
                <w:szCs w:val="21"/>
              </w:rPr>
            </w:pPr>
          </w:p>
        </w:tc>
        <w:tc>
          <w:tcPr>
            <w:tcW w:w="1701" w:type="dxa"/>
            <w:vMerge w:val="continue"/>
            <w:shd w:val="clear" w:color="auto" w:fill="auto"/>
            <w:tcMar>
              <w:left w:w="108" w:type="dxa"/>
              <w:right w:w="108" w:type="dxa"/>
            </w:tcMar>
            <w:vAlign w:val="center"/>
          </w:tcPr>
          <w:p>
            <w:pPr>
              <w:keepNext w:val="0"/>
              <w:keepLines w:val="0"/>
              <w:pageBreakBefore w:val="0"/>
              <w:kinsoku/>
              <w:wordWrap w:val="0"/>
              <w:overflowPunct/>
              <w:topLinePunct w:val="0"/>
              <w:autoSpaceDE/>
              <w:autoSpaceDN/>
              <w:bidi w:val="0"/>
              <w:adjustRightInd/>
              <w:snapToGrid/>
              <w:spacing w:line="200" w:lineRule="exact"/>
              <w:textAlignment w:val="auto"/>
              <w:rPr>
                <w:rFonts w:ascii="Times New Roman" w:hAnsi="Times New Roman" w:eastAsia="黑体"/>
                <w:szCs w:val="21"/>
              </w:rPr>
            </w:pPr>
          </w:p>
        </w:tc>
        <w:tc>
          <w:tcPr>
            <w:tcW w:w="2976"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00" w:lineRule="exact"/>
              <w:textAlignment w:val="auto"/>
              <w:rPr>
                <w:rFonts w:ascii="Times New Roman" w:hAnsi="Times New Roman" w:eastAsia="仿宋_GB2312"/>
                <w:kern w:val="0"/>
                <w:szCs w:val="21"/>
              </w:rPr>
            </w:pPr>
            <w:r>
              <w:rPr>
                <w:rFonts w:hint="eastAsia" w:ascii="Times New Roman" w:hAnsi="Times New Roman" w:eastAsia="仿宋_GB2312"/>
                <w:kern w:val="0"/>
                <w:szCs w:val="21"/>
              </w:rPr>
              <w:t>4.</w:t>
            </w:r>
            <w:bookmarkStart w:id="3" w:name="_Hlk66974290"/>
            <w:r>
              <w:rPr>
                <w:rFonts w:hint="eastAsia" w:ascii="Times New Roman" w:hAnsi="Times New Roman" w:eastAsia="仿宋_GB2312"/>
                <w:kern w:val="0"/>
                <w:szCs w:val="21"/>
              </w:rPr>
              <w:t>保护第三方合法权益</w:t>
            </w:r>
            <w:bookmarkEnd w:id="3"/>
          </w:p>
        </w:tc>
        <w:tc>
          <w:tcPr>
            <w:tcW w:w="747"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454" w:hRule="exact"/>
          <w:jc w:val="center"/>
        </w:trPr>
        <w:tc>
          <w:tcPr>
            <w:tcW w:w="416" w:type="dxa"/>
            <w:vMerge w:val="continue"/>
            <w:shd w:val="clear" w:color="auto" w:fill="auto"/>
            <w:tcMar>
              <w:left w:w="108" w:type="dxa"/>
              <w:right w:w="108" w:type="dxa"/>
            </w:tcMar>
            <w:vAlign w:val="center"/>
          </w:tcPr>
          <w:p>
            <w:pPr>
              <w:keepNext w:val="0"/>
              <w:keepLines w:val="0"/>
              <w:pageBreakBefore w:val="0"/>
              <w:kinsoku/>
              <w:wordWrap w:val="0"/>
              <w:overflowPunct/>
              <w:topLinePunct w:val="0"/>
              <w:autoSpaceDE/>
              <w:autoSpaceDN/>
              <w:bidi w:val="0"/>
              <w:adjustRightInd/>
              <w:snapToGrid/>
              <w:textAlignment w:val="auto"/>
              <w:rPr>
                <w:rFonts w:ascii="Times New Roman" w:hAnsi="Times New Roman" w:eastAsia="黑体"/>
                <w:szCs w:val="21"/>
              </w:rPr>
            </w:pPr>
          </w:p>
        </w:tc>
        <w:tc>
          <w:tcPr>
            <w:tcW w:w="1701" w:type="dxa"/>
            <w:vMerge w:val="continue"/>
            <w:shd w:val="clear" w:color="auto" w:fill="auto"/>
            <w:tcMar>
              <w:left w:w="108" w:type="dxa"/>
              <w:right w:w="108" w:type="dxa"/>
            </w:tcMar>
            <w:vAlign w:val="center"/>
          </w:tcPr>
          <w:p>
            <w:pPr>
              <w:keepNext w:val="0"/>
              <w:keepLines w:val="0"/>
              <w:pageBreakBefore w:val="0"/>
              <w:kinsoku/>
              <w:wordWrap w:val="0"/>
              <w:overflowPunct/>
              <w:topLinePunct w:val="0"/>
              <w:autoSpaceDE/>
              <w:autoSpaceDN/>
              <w:bidi w:val="0"/>
              <w:adjustRightInd/>
              <w:snapToGrid/>
              <w:spacing w:line="200" w:lineRule="exact"/>
              <w:textAlignment w:val="auto"/>
              <w:rPr>
                <w:rFonts w:ascii="Times New Roman" w:hAnsi="Times New Roman" w:eastAsia="黑体"/>
                <w:szCs w:val="21"/>
              </w:rPr>
            </w:pPr>
          </w:p>
        </w:tc>
        <w:tc>
          <w:tcPr>
            <w:tcW w:w="2976"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00" w:lineRule="exact"/>
              <w:textAlignment w:val="auto"/>
              <w:rPr>
                <w:rFonts w:ascii="Times New Roman" w:hAnsi="Times New Roman" w:eastAsia="仿宋_GB2312"/>
                <w:kern w:val="0"/>
                <w:szCs w:val="21"/>
              </w:rPr>
            </w:pPr>
            <w:r>
              <w:rPr>
                <w:rFonts w:hint="eastAsia" w:ascii="Times New Roman" w:hAnsi="Times New Roman" w:eastAsia="仿宋_GB2312"/>
                <w:kern w:val="0"/>
                <w:szCs w:val="21"/>
              </w:rPr>
              <w:t>5.属于三类内部事务信息</w:t>
            </w:r>
          </w:p>
        </w:tc>
        <w:tc>
          <w:tcPr>
            <w:tcW w:w="747"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454" w:hRule="exact"/>
          <w:jc w:val="center"/>
        </w:trPr>
        <w:tc>
          <w:tcPr>
            <w:tcW w:w="416" w:type="dxa"/>
            <w:vMerge w:val="continue"/>
            <w:shd w:val="clear" w:color="auto" w:fill="auto"/>
            <w:tcMar>
              <w:left w:w="108" w:type="dxa"/>
              <w:right w:w="108" w:type="dxa"/>
            </w:tcMar>
            <w:vAlign w:val="center"/>
          </w:tcPr>
          <w:p>
            <w:pPr>
              <w:keepNext w:val="0"/>
              <w:keepLines w:val="0"/>
              <w:pageBreakBefore w:val="0"/>
              <w:kinsoku/>
              <w:wordWrap w:val="0"/>
              <w:overflowPunct/>
              <w:topLinePunct w:val="0"/>
              <w:autoSpaceDE/>
              <w:autoSpaceDN/>
              <w:bidi w:val="0"/>
              <w:adjustRightInd/>
              <w:snapToGrid/>
              <w:textAlignment w:val="auto"/>
              <w:rPr>
                <w:rFonts w:ascii="Times New Roman" w:hAnsi="Times New Roman" w:eastAsia="黑体"/>
                <w:szCs w:val="21"/>
              </w:rPr>
            </w:pPr>
          </w:p>
        </w:tc>
        <w:tc>
          <w:tcPr>
            <w:tcW w:w="1701" w:type="dxa"/>
            <w:vMerge w:val="continue"/>
            <w:shd w:val="clear" w:color="auto" w:fill="auto"/>
            <w:tcMar>
              <w:left w:w="108" w:type="dxa"/>
              <w:right w:w="108" w:type="dxa"/>
            </w:tcMar>
            <w:vAlign w:val="center"/>
          </w:tcPr>
          <w:p>
            <w:pPr>
              <w:keepNext w:val="0"/>
              <w:keepLines w:val="0"/>
              <w:pageBreakBefore w:val="0"/>
              <w:kinsoku/>
              <w:wordWrap w:val="0"/>
              <w:overflowPunct/>
              <w:topLinePunct w:val="0"/>
              <w:autoSpaceDE/>
              <w:autoSpaceDN/>
              <w:bidi w:val="0"/>
              <w:adjustRightInd/>
              <w:snapToGrid/>
              <w:spacing w:line="200" w:lineRule="exact"/>
              <w:textAlignment w:val="auto"/>
              <w:rPr>
                <w:rFonts w:ascii="Times New Roman" w:hAnsi="Times New Roman" w:eastAsia="黑体"/>
                <w:szCs w:val="21"/>
              </w:rPr>
            </w:pPr>
          </w:p>
        </w:tc>
        <w:tc>
          <w:tcPr>
            <w:tcW w:w="2976"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00" w:lineRule="exact"/>
              <w:textAlignment w:val="auto"/>
              <w:rPr>
                <w:rFonts w:ascii="Times New Roman" w:hAnsi="Times New Roman" w:eastAsia="仿宋_GB2312"/>
                <w:kern w:val="0"/>
                <w:szCs w:val="21"/>
              </w:rPr>
            </w:pPr>
            <w:r>
              <w:rPr>
                <w:rFonts w:hint="eastAsia" w:ascii="Times New Roman" w:hAnsi="Times New Roman" w:eastAsia="仿宋_GB2312"/>
                <w:kern w:val="0"/>
                <w:szCs w:val="21"/>
              </w:rPr>
              <w:t>6.</w:t>
            </w:r>
            <w:bookmarkStart w:id="4" w:name="_Hlk66974555"/>
            <w:r>
              <w:rPr>
                <w:rFonts w:hint="eastAsia" w:ascii="Times New Roman" w:hAnsi="Times New Roman" w:eastAsia="仿宋_GB2312"/>
                <w:kern w:val="0"/>
                <w:szCs w:val="21"/>
              </w:rPr>
              <w:t>属于四类过程性信息</w:t>
            </w:r>
            <w:bookmarkEnd w:id="4"/>
          </w:p>
        </w:tc>
        <w:tc>
          <w:tcPr>
            <w:tcW w:w="747"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454" w:hRule="exact"/>
          <w:jc w:val="center"/>
        </w:trPr>
        <w:tc>
          <w:tcPr>
            <w:tcW w:w="416" w:type="dxa"/>
            <w:vMerge w:val="continue"/>
            <w:shd w:val="clear" w:color="auto" w:fill="auto"/>
            <w:tcMar>
              <w:left w:w="108" w:type="dxa"/>
              <w:right w:w="108" w:type="dxa"/>
            </w:tcMar>
            <w:vAlign w:val="center"/>
          </w:tcPr>
          <w:p>
            <w:pPr>
              <w:keepNext w:val="0"/>
              <w:keepLines w:val="0"/>
              <w:pageBreakBefore w:val="0"/>
              <w:kinsoku/>
              <w:wordWrap w:val="0"/>
              <w:overflowPunct/>
              <w:topLinePunct w:val="0"/>
              <w:autoSpaceDE/>
              <w:autoSpaceDN/>
              <w:bidi w:val="0"/>
              <w:adjustRightInd/>
              <w:snapToGrid/>
              <w:textAlignment w:val="auto"/>
              <w:rPr>
                <w:rFonts w:ascii="Times New Roman" w:hAnsi="Times New Roman" w:eastAsia="黑体"/>
                <w:szCs w:val="21"/>
              </w:rPr>
            </w:pPr>
          </w:p>
        </w:tc>
        <w:tc>
          <w:tcPr>
            <w:tcW w:w="1701" w:type="dxa"/>
            <w:vMerge w:val="continue"/>
            <w:shd w:val="clear" w:color="auto" w:fill="auto"/>
            <w:tcMar>
              <w:left w:w="108" w:type="dxa"/>
              <w:right w:w="108" w:type="dxa"/>
            </w:tcMar>
            <w:vAlign w:val="center"/>
          </w:tcPr>
          <w:p>
            <w:pPr>
              <w:keepNext w:val="0"/>
              <w:keepLines w:val="0"/>
              <w:pageBreakBefore w:val="0"/>
              <w:kinsoku/>
              <w:wordWrap w:val="0"/>
              <w:overflowPunct/>
              <w:topLinePunct w:val="0"/>
              <w:autoSpaceDE/>
              <w:autoSpaceDN/>
              <w:bidi w:val="0"/>
              <w:adjustRightInd/>
              <w:snapToGrid/>
              <w:spacing w:line="200" w:lineRule="exact"/>
              <w:textAlignment w:val="auto"/>
              <w:rPr>
                <w:rFonts w:ascii="Times New Roman" w:hAnsi="Times New Roman" w:eastAsia="黑体"/>
                <w:szCs w:val="21"/>
              </w:rPr>
            </w:pPr>
          </w:p>
        </w:tc>
        <w:tc>
          <w:tcPr>
            <w:tcW w:w="2976"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00" w:lineRule="exact"/>
              <w:textAlignment w:val="auto"/>
              <w:rPr>
                <w:rFonts w:ascii="Times New Roman" w:hAnsi="Times New Roman" w:eastAsia="仿宋_GB2312"/>
                <w:kern w:val="0"/>
                <w:szCs w:val="21"/>
              </w:rPr>
            </w:pPr>
            <w:r>
              <w:rPr>
                <w:rFonts w:hint="eastAsia" w:ascii="Times New Roman" w:hAnsi="Times New Roman" w:eastAsia="仿宋_GB2312"/>
                <w:kern w:val="0"/>
                <w:szCs w:val="21"/>
              </w:rPr>
              <w:t>7.属于行政执法案卷</w:t>
            </w:r>
          </w:p>
        </w:tc>
        <w:tc>
          <w:tcPr>
            <w:tcW w:w="747"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454" w:hRule="exact"/>
          <w:jc w:val="center"/>
        </w:trPr>
        <w:tc>
          <w:tcPr>
            <w:tcW w:w="416" w:type="dxa"/>
            <w:vMerge w:val="continue"/>
            <w:shd w:val="clear" w:color="auto" w:fill="auto"/>
            <w:tcMar>
              <w:left w:w="108" w:type="dxa"/>
              <w:right w:w="108" w:type="dxa"/>
            </w:tcMar>
            <w:vAlign w:val="center"/>
          </w:tcPr>
          <w:p>
            <w:pPr>
              <w:keepNext w:val="0"/>
              <w:keepLines w:val="0"/>
              <w:pageBreakBefore w:val="0"/>
              <w:kinsoku/>
              <w:wordWrap w:val="0"/>
              <w:overflowPunct/>
              <w:topLinePunct w:val="0"/>
              <w:autoSpaceDE/>
              <w:autoSpaceDN/>
              <w:bidi w:val="0"/>
              <w:adjustRightInd/>
              <w:snapToGrid/>
              <w:textAlignment w:val="auto"/>
              <w:rPr>
                <w:rFonts w:ascii="Times New Roman" w:hAnsi="Times New Roman" w:eastAsia="黑体"/>
                <w:szCs w:val="21"/>
              </w:rPr>
            </w:pPr>
          </w:p>
        </w:tc>
        <w:tc>
          <w:tcPr>
            <w:tcW w:w="1701" w:type="dxa"/>
            <w:vMerge w:val="continue"/>
            <w:shd w:val="clear" w:color="auto" w:fill="auto"/>
            <w:tcMar>
              <w:left w:w="108" w:type="dxa"/>
              <w:right w:w="108" w:type="dxa"/>
            </w:tcMar>
            <w:vAlign w:val="center"/>
          </w:tcPr>
          <w:p>
            <w:pPr>
              <w:keepNext w:val="0"/>
              <w:keepLines w:val="0"/>
              <w:pageBreakBefore w:val="0"/>
              <w:kinsoku/>
              <w:wordWrap w:val="0"/>
              <w:overflowPunct/>
              <w:topLinePunct w:val="0"/>
              <w:autoSpaceDE/>
              <w:autoSpaceDN/>
              <w:bidi w:val="0"/>
              <w:adjustRightInd/>
              <w:snapToGrid/>
              <w:spacing w:line="200" w:lineRule="exact"/>
              <w:textAlignment w:val="auto"/>
              <w:rPr>
                <w:rFonts w:ascii="Times New Roman" w:hAnsi="Times New Roman" w:eastAsia="黑体"/>
                <w:szCs w:val="21"/>
              </w:rPr>
            </w:pPr>
          </w:p>
        </w:tc>
        <w:tc>
          <w:tcPr>
            <w:tcW w:w="2976"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00" w:lineRule="exact"/>
              <w:textAlignment w:val="auto"/>
              <w:rPr>
                <w:rFonts w:ascii="Times New Roman" w:hAnsi="Times New Roman" w:eastAsia="仿宋_GB2312"/>
                <w:kern w:val="0"/>
                <w:szCs w:val="21"/>
              </w:rPr>
            </w:pPr>
            <w:r>
              <w:rPr>
                <w:rFonts w:hint="eastAsia" w:ascii="Times New Roman" w:hAnsi="Times New Roman" w:eastAsia="仿宋_GB2312"/>
                <w:kern w:val="0"/>
                <w:szCs w:val="21"/>
              </w:rPr>
              <w:t>8.</w:t>
            </w:r>
            <w:bookmarkStart w:id="5" w:name="_Hlk66975211"/>
            <w:r>
              <w:rPr>
                <w:rFonts w:hint="eastAsia" w:ascii="Times New Roman" w:hAnsi="Times New Roman" w:eastAsia="仿宋_GB2312"/>
                <w:kern w:val="0"/>
                <w:szCs w:val="21"/>
              </w:rPr>
              <w:t>属于行政查询事项</w:t>
            </w:r>
            <w:bookmarkEnd w:id="5"/>
          </w:p>
        </w:tc>
        <w:tc>
          <w:tcPr>
            <w:tcW w:w="747"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454" w:hRule="exact"/>
          <w:jc w:val="center"/>
        </w:trPr>
        <w:tc>
          <w:tcPr>
            <w:tcW w:w="416" w:type="dxa"/>
            <w:vMerge w:val="continue"/>
            <w:shd w:val="clear" w:color="auto" w:fill="auto"/>
            <w:tcMar>
              <w:left w:w="108" w:type="dxa"/>
              <w:right w:w="108" w:type="dxa"/>
            </w:tcMar>
            <w:vAlign w:val="center"/>
          </w:tcPr>
          <w:p>
            <w:pPr>
              <w:keepNext w:val="0"/>
              <w:keepLines w:val="0"/>
              <w:pageBreakBefore w:val="0"/>
              <w:kinsoku/>
              <w:wordWrap w:val="0"/>
              <w:overflowPunct/>
              <w:topLinePunct w:val="0"/>
              <w:autoSpaceDE/>
              <w:autoSpaceDN/>
              <w:bidi w:val="0"/>
              <w:adjustRightInd/>
              <w:snapToGrid/>
              <w:textAlignment w:val="auto"/>
              <w:rPr>
                <w:rFonts w:ascii="Times New Roman" w:hAnsi="Times New Roman" w:eastAsia="黑体"/>
                <w:szCs w:val="21"/>
              </w:rPr>
            </w:pPr>
          </w:p>
        </w:tc>
        <w:tc>
          <w:tcPr>
            <w:tcW w:w="1701" w:type="dxa"/>
            <w:vMerge w:val="restart"/>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00" w:lineRule="exact"/>
              <w:ind w:left="-107" w:leftChars="-51"/>
              <w:textAlignment w:val="auto"/>
              <w:rPr>
                <w:rFonts w:ascii="Times New Roman" w:hAnsi="Times New Roman" w:eastAsia="黑体"/>
                <w:szCs w:val="21"/>
              </w:rPr>
            </w:pPr>
            <w:r>
              <w:rPr>
                <w:rFonts w:hint="eastAsia" w:ascii="Times New Roman" w:hAnsi="Times New Roman" w:eastAsia="黑体"/>
                <w:kern w:val="0"/>
                <w:szCs w:val="21"/>
              </w:rPr>
              <w:t>（四）无法提供</w:t>
            </w:r>
          </w:p>
        </w:tc>
        <w:tc>
          <w:tcPr>
            <w:tcW w:w="2976"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00" w:lineRule="exact"/>
              <w:textAlignment w:val="auto"/>
              <w:rPr>
                <w:rFonts w:ascii="Times New Roman" w:hAnsi="Times New Roman" w:eastAsia="仿宋_GB2312"/>
                <w:kern w:val="0"/>
                <w:szCs w:val="21"/>
              </w:rPr>
            </w:pPr>
            <w:r>
              <w:rPr>
                <w:rFonts w:hint="eastAsia" w:ascii="Times New Roman" w:hAnsi="Times New Roman" w:eastAsia="仿宋_GB2312"/>
                <w:kern w:val="0"/>
                <w:szCs w:val="21"/>
              </w:rPr>
              <w:t>1.本机关不掌握相关政府信息</w:t>
            </w:r>
          </w:p>
        </w:tc>
        <w:tc>
          <w:tcPr>
            <w:tcW w:w="747"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454" w:hRule="exact"/>
          <w:jc w:val="center"/>
        </w:trPr>
        <w:tc>
          <w:tcPr>
            <w:tcW w:w="416" w:type="dxa"/>
            <w:vMerge w:val="continue"/>
            <w:shd w:val="clear" w:color="auto" w:fill="auto"/>
            <w:tcMar>
              <w:left w:w="108" w:type="dxa"/>
              <w:right w:w="108" w:type="dxa"/>
            </w:tcMar>
            <w:vAlign w:val="center"/>
          </w:tcPr>
          <w:p>
            <w:pPr>
              <w:keepNext w:val="0"/>
              <w:keepLines w:val="0"/>
              <w:pageBreakBefore w:val="0"/>
              <w:kinsoku/>
              <w:wordWrap w:val="0"/>
              <w:overflowPunct/>
              <w:topLinePunct w:val="0"/>
              <w:autoSpaceDE/>
              <w:autoSpaceDN/>
              <w:bidi w:val="0"/>
              <w:adjustRightInd/>
              <w:snapToGrid/>
              <w:textAlignment w:val="auto"/>
              <w:rPr>
                <w:rFonts w:ascii="Times New Roman" w:hAnsi="Times New Roman" w:eastAsia="黑体"/>
                <w:szCs w:val="21"/>
              </w:rPr>
            </w:pPr>
          </w:p>
        </w:tc>
        <w:tc>
          <w:tcPr>
            <w:tcW w:w="1701" w:type="dxa"/>
            <w:vMerge w:val="continue"/>
            <w:shd w:val="clear" w:color="auto" w:fill="auto"/>
            <w:tcMar>
              <w:left w:w="108" w:type="dxa"/>
              <w:right w:w="108" w:type="dxa"/>
            </w:tcMar>
            <w:vAlign w:val="center"/>
          </w:tcPr>
          <w:p>
            <w:pPr>
              <w:keepNext w:val="0"/>
              <w:keepLines w:val="0"/>
              <w:pageBreakBefore w:val="0"/>
              <w:kinsoku/>
              <w:wordWrap w:val="0"/>
              <w:overflowPunct/>
              <w:topLinePunct w:val="0"/>
              <w:autoSpaceDE/>
              <w:autoSpaceDN/>
              <w:bidi w:val="0"/>
              <w:adjustRightInd/>
              <w:snapToGrid/>
              <w:spacing w:line="200" w:lineRule="exact"/>
              <w:ind w:left="-107" w:leftChars="-51"/>
              <w:textAlignment w:val="auto"/>
              <w:rPr>
                <w:rFonts w:ascii="Times New Roman" w:hAnsi="Times New Roman" w:eastAsia="黑体"/>
                <w:szCs w:val="21"/>
              </w:rPr>
            </w:pPr>
          </w:p>
        </w:tc>
        <w:tc>
          <w:tcPr>
            <w:tcW w:w="2976"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00" w:lineRule="exact"/>
              <w:textAlignment w:val="auto"/>
              <w:rPr>
                <w:rFonts w:ascii="Times New Roman" w:hAnsi="Times New Roman" w:eastAsia="仿宋_GB2312"/>
                <w:kern w:val="0"/>
                <w:szCs w:val="21"/>
              </w:rPr>
            </w:pPr>
            <w:r>
              <w:rPr>
                <w:rFonts w:hint="eastAsia" w:ascii="Times New Roman" w:hAnsi="Times New Roman" w:eastAsia="仿宋_GB2312"/>
                <w:kern w:val="0"/>
                <w:szCs w:val="21"/>
              </w:rPr>
              <w:t>2.</w:t>
            </w:r>
            <w:bookmarkStart w:id="6" w:name="_Hlk66975392"/>
            <w:r>
              <w:rPr>
                <w:rFonts w:hint="eastAsia" w:ascii="Times New Roman" w:hAnsi="Times New Roman" w:eastAsia="仿宋_GB2312"/>
                <w:kern w:val="0"/>
                <w:szCs w:val="21"/>
              </w:rPr>
              <w:t>没有现成信息需要另行制作</w:t>
            </w:r>
            <w:bookmarkEnd w:id="6"/>
          </w:p>
        </w:tc>
        <w:tc>
          <w:tcPr>
            <w:tcW w:w="747"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454" w:hRule="exact"/>
          <w:jc w:val="center"/>
        </w:trPr>
        <w:tc>
          <w:tcPr>
            <w:tcW w:w="416" w:type="dxa"/>
            <w:vMerge w:val="continue"/>
            <w:shd w:val="clear" w:color="auto" w:fill="auto"/>
            <w:tcMar>
              <w:left w:w="108" w:type="dxa"/>
              <w:right w:w="108" w:type="dxa"/>
            </w:tcMar>
            <w:vAlign w:val="center"/>
          </w:tcPr>
          <w:p>
            <w:pPr>
              <w:keepNext w:val="0"/>
              <w:keepLines w:val="0"/>
              <w:pageBreakBefore w:val="0"/>
              <w:kinsoku/>
              <w:wordWrap w:val="0"/>
              <w:overflowPunct/>
              <w:topLinePunct w:val="0"/>
              <w:autoSpaceDE/>
              <w:autoSpaceDN/>
              <w:bidi w:val="0"/>
              <w:adjustRightInd/>
              <w:snapToGrid/>
              <w:textAlignment w:val="auto"/>
              <w:rPr>
                <w:rFonts w:ascii="Times New Roman" w:hAnsi="Times New Roman" w:eastAsia="黑体"/>
                <w:szCs w:val="21"/>
              </w:rPr>
            </w:pPr>
          </w:p>
        </w:tc>
        <w:tc>
          <w:tcPr>
            <w:tcW w:w="1701" w:type="dxa"/>
            <w:vMerge w:val="continue"/>
            <w:shd w:val="clear" w:color="auto" w:fill="auto"/>
            <w:tcMar>
              <w:left w:w="108" w:type="dxa"/>
              <w:right w:w="108" w:type="dxa"/>
            </w:tcMar>
            <w:vAlign w:val="center"/>
          </w:tcPr>
          <w:p>
            <w:pPr>
              <w:keepNext w:val="0"/>
              <w:keepLines w:val="0"/>
              <w:pageBreakBefore w:val="0"/>
              <w:kinsoku/>
              <w:wordWrap w:val="0"/>
              <w:overflowPunct/>
              <w:topLinePunct w:val="0"/>
              <w:autoSpaceDE/>
              <w:autoSpaceDN/>
              <w:bidi w:val="0"/>
              <w:adjustRightInd/>
              <w:snapToGrid/>
              <w:spacing w:line="200" w:lineRule="exact"/>
              <w:ind w:left="-107" w:leftChars="-51"/>
              <w:textAlignment w:val="auto"/>
              <w:rPr>
                <w:rFonts w:ascii="Times New Roman" w:hAnsi="Times New Roman" w:eastAsia="黑体"/>
                <w:szCs w:val="21"/>
              </w:rPr>
            </w:pPr>
          </w:p>
        </w:tc>
        <w:tc>
          <w:tcPr>
            <w:tcW w:w="2976"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00" w:lineRule="exact"/>
              <w:textAlignment w:val="auto"/>
              <w:rPr>
                <w:rFonts w:ascii="Times New Roman" w:hAnsi="Times New Roman" w:eastAsia="仿宋_GB2312"/>
                <w:kern w:val="0"/>
                <w:szCs w:val="21"/>
              </w:rPr>
            </w:pPr>
            <w:r>
              <w:rPr>
                <w:rFonts w:hint="eastAsia" w:ascii="Times New Roman" w:hAnsi="Times New Roman" w:eastAsia="仿宋_GB2312"/>
                <w:kern w:val="0"/>
                <w:szCs w:val="21"/>
              </w:rPr>
              <w:t>3.</w:t>
            </w:r>
            <w:bookmarkStart w:id="7" w:name="_Hlk66975466"/>
            <w:r>
              <w:rPr>
                <w:rFonts w:hint="eastAsia" w:ascii="Times New Roman" w:hAnsi="Times New Roman" w:eastAsia="仿宋_GB2312"/>
                <w:kern w:val="0"/>
                <w:szCs w:val="21"/>
              </w:rPr>
              <w:t>补正后申请内容仍不明确</w:t>
            </w:r>
            <w:bookmarkEnd w:id="7"/>
          </w:p>
        </w:tc>
        <w:tc>
          <w:tcPr>
            <w:tcW w:w="747"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454" w:hRule="exact"/>
          <w:jc w:val="center"/>
        </w:trPr>
        <w:tc>
          <w:tcPr>
            <w:tcW w:w="416" w:type="dxa"/>
            <w:vMerge w:val="continue"/>
            <w:shd w:val="clear" w:color="auto" w:fill="auto"/>
            <w:tcMar>
              <w:left w:w="108" w:type="dxa"/>
              <w:right w:w="108" w:type="dxa"/>
            </w:tcMar>
            <w:vAlign w:val="center"/>
          </w:tcPr>
          <w:p>
            <w:pPr>
              <w:keepNext w:val="0"/>
              <w:keepLines w:val="0"/>
              <w:pageBreakBefore w:val="0"/>
              <w:kinsoku/>
              <w:wordWrap w:val="0"/>
              <w:overflowPunct/>
              <w:topLinePunct w:val="0"/>
              <w:autoSpaceDE/>
              <w:autoSpaceDN/>
              <w:bidi w:val="0"/>
              <w:adjustRightInd/>
              <w:snapToGrid/>
              <w:textAlignment w:val="auto"/>
              <w:rPr>
                <w:rFonts w:ascii="Times New Roman" w:hAnsi="Times New Roman" w:eastAsia="黑体"/>
                <w:szCs w:val="21"/>
              </w:rPr>
            </w:pPr>
          </w:p>
        </w:tc>
        <w:tc>
          <w:tcPr>
            <w:tcW w:w="1701" w:type="dxa"/>
            <w:vMerge w:val="restart"/>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00" w:lineRule="exact"/>
              <w:ind w:left="-107" w:leftChars="-51"/>
              <w:textAlignment w:val="auto"/>
              <w:rPr>
                <w:rFonts w:ascii="Times New Roman" w:hAnsi="Times New Roman" w:eastAsia="黑体"/>
                <w:szCs w:val="21"/>
              </w:rPr>
            </w:pPr>
            <w:r>
              <w:rPr>
                <w:rFonts w:hint="eastAsia" w:ascii="Times New Roman" w:hAnsi="Times New Roman" w:eastAsia="黑体"/>
                <w:kern w:val="0"/>
                <w:szCs w:val="21"/>
              </w:rPr>
              <w:t>（五）不予处理</w:t>
            </w:r>
          </w:p>
        </w:tc>
        <w:tc>
          <w:tcPr>
            <w:tcW w:w="2976"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00" w:lineRule="exact"/>
              <w:textAlignment w:val="auto"/>
              <w:rPr>
                <w:rFonts w:ascii="Times New Roman" w:hAnsi="Times New Roman" w:eastAsia="仿宋_GB2312"/>
                <w:kern w:val="0"/>
                <w:szCs w:val="21"/>
              </w:rPr>
            </w:pPr>
            <w:r>
              <w:rPr>
                <w:rFonts w:hint="eastAsia" w:ascii="Times New Roman" w:hAnsi="Times New Roman" w:eastAsia="仿宋_GB2312"/>
                <w:kern w:val="0"/>
                <w:szCs w:val="21"/>
              </w:rPr>
              <w:t>1.</w:t>
            </w:r>
            <w:bookmarkStart w:id="8" w:name="_Hlk66975537"/>
            <w:r>
              <w:rPr>
                <w:rFonts w:hint="eastAsia" w:ascii="Times New Roman" w:hAnsi="Times New Roman" w:eastAsia="仿宋_GB2312"/>
                <w:kern w:val="0"/>
                <w:szCs w:val="21"/>
              </w:rPr>
              <w:t>信访举报投诉类申请</w:t>
            </w:r>
            <w:bookmarkEnd w:id="8"/>
          </w:p>
        </w:tc>
        <w:tc>
          <w:tcPr>
            <w:tcW w:w="747"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454" w:hRule="exact"/>
          <w:jc w:val="center"/>
        </w:trPr>
        <w:tc>
          <w:tcPr>
            <w:tcW w:w="416" w:type="dxa"/>
            <w:vMerge w:val="continue"/>
            <w:shd w:val="clear" w:color="auto" w:fill="auto"/>
            <w:tcMar>
              <w:left w:w="108" w:type="dxa"/>
              <w:right w:w="108" w:type="dxa"/>
            </w:tcMar>
            <w:vAlign w:val="center"/>
          </w:tcPr>
          <w:p>
            <w:pPr>
              <w:keepNext w:val="0"/>
              <w:keepLines w:val="0"/>
              <w:pageBreakBefore w:val="0"/>
              <w:kinsoku/>
              <w:wordWrap w:val="0"/>
              <w:overflowPunct/>
              <w:topLinePunct w:val="0"/>
              <w:autoSpaceDE/>
              <w:autoSpaceDN/>
              <w:bidi w:val="0"/>
              <w:adjustRightInd/>
              <w:snapToGrid/>
              <w:textAlignment w:val="auto"/>
              <w:rPr>
                <w:rFonts w:ascii="Times New Roman" w:hAnsi="Times New Roman" w:eastAsia="黑体"/>
                <w:szCs w:val="21"/>
              </w:rPr>
            </w:pPr>
          </w:p>
        </w:tc>
        <w:tc>
          <w:tcPr>
            <w:tcW w:w="1701" w:type="dxa"/>
            <w:vMerge w:val="continue"/>
            <w:shd w:val="clear" w:color="auto" w:fill="auto"/>
            <w:tcMar>
              <w:left w:w="108" w:type="dxa"/>
              <w:right w:w="108" w:type="dxa"/>
            </w:tcMar>
            <w:vAlign w:val="center"/>
          </w:tcPr>
          <w:p>
            <w:pPr>
              <w:keepNext w:val="0"/>
              <w:keepLines w:val="0"/>
              <w:pageBreakBefore w:val="0"/>
              <w:kinsoku/>
              <w:wordWrap w:val="0"/>
              <w:overflowPunct/>
              <w:topLinePunct w:val="0"/>
              <w:autoSpaceDE/>
              <w:autoSpaceDN/>
              <w:bidi w:val="0"/>
              <w:adjustRightInd/>
              <w:snapToGrid/>
              <w:spacing w:line="200" w:lineRule="exact"/>
              <w:textAlignment w:val="auto"/>
              <w:rPr>
                <w:rFonts w:ascii="Times New Roman" w:hAnsi="Times New Roman" w:eastAsia="黑体"/>
                <w:szCs w:val="21"/>
              </w:rPr>
            </w:pPr>
          </w:p>
        </w:tc>
        <w:tc>
          <w:tcPr>
            <w:tcW w:w="2976"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00" w:lineRule="exact"/>
              <w:textAlignment w:val="auto"/>
              <w:rPr>
                <w:rFonts w:ascii="Times New Roman" w:hAnsi="Times New Roman" w:eastAsia="仿宋_GB2312"/>
                <w:kern w:val="0"/>
                <w:szCs w:val="21"/>
              </w:rPr>
            </w:pPr>
            <w:r>
              <w:rPr>
                <w:rFonts w:hint="eastAsia" w:ascii="Times New Roman" w:hAnsi="Times New Roman" w:eastAsia="仿宋_GB2312"/>
                <w:kern w:val="0"/>
                <w:szCs w:val="21"/>
              </w:rPr>
              <w:t>2.重复申请</w:t>
            </w:r>
          </w:p>
        </w:tc>
        <w:tc>
          <w:tcPr>
            <w:tcW w:w="747"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454" w:hRule="exact"/>
          <w:jc w:val="center"/>
        </w:trPr>
        <w:tc>
          <w:tcPr>
            <w:tcW w:w="416" w:type="dxa"/>
            <w:vMerge w:val="continue"/>
            <w:shd w:val="clear" w:color="auto" w:fill="auto"/>
            <w:tcMar>
              <w:left w:w="108" w:type="dxa"/>
              <w:right w:w="108" w:type="dxa"/>
            </w:tcMar>
            <w:vAlign w:val="center"/>
          </w:tcPr>
          <w:p>
            <w:pPr>
              <w:keepNext w:val="0"/>
              <w:keepLines w:val="0"/>
              <w:pageBreakBefore w:val="0"/>
              <w:kinsoku/>
              <w:wordWrap w:val="0"/>
              <w:overflowPunct/>
              <w:topLinePunct w:val="0"/>
              <w:autoSpaceDE/>
              <w:autoSpaceDN/>
              <w:bidi w:val="0"/>
              <w:adjustRightInd/>
              <w:snapToGrid/>
              <w:textAlignment w:val="auto"/>
              <w:rPr>
                <w:rFonts w:ascii="Times New Roman" w:hAnsi="Times New Roman" w:eastAsia="黑体"/>
                <w:szCs w:val="21"/>
              </w:rPr>
            </w:pPr>
          </w:p>
        </w:tc>
        <w:tc>
          <w:tcPr>
            <w:tcW w:w="1701" w:type="dxa"/>
            <w:vMerge w:val="continue"/>
            <w:shd w:val="clear" w:color="auto" w:fill="auto"/>
            <w:tcMar>
              <w:left w:w="108" w:type="dxa"/>
              <w:right w:w="108" w:type="dxa"/>
            </w:tcMar>
            <w:vAlign w:val="center"/>
          </w:tcPr>
          <w:p>
            <w:pPr>
              <w:keepNext w:val="0"/>
              <w:keepLines w:val="0"/>
              <w:pageBreakBefore w:val="0"/>
              <w:kinsoku/>
              <w:wordWrap w:val="0"/>
              <w:overflowPunct/>
              <w:topLinePunct w:val="0"/>
              <w:autoSpaceDE/>
              <w:autoSpaceDN/>
              <w:bidi w:val="0"/>
              <w:adjustRightInd/>
              <w:snapToGrid/>
              <w:spacing w:line="200" w:lineRule="exact"/>
              <w:textAlignment w:val="auto"/>
              <w:rPr>
                <w:rFonts w:ascii="Times New Roman" w:hAnsi="Times New Roman" w:eastAsia="黑体"/>
                <w:szCs w:val="21"/>
              </w:rPr>
            </w:pPr>
          </w:p>
        </w:tc>
        <w:tc>
          <w:tcPr>
            <w:tcW w:w="2976"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00" w:lineRule="exact"/>
              <w:textAlignment w:val="auto"/>
              <w:rPr>
                <w:rFonts w:ascii="Times New Roman" w:hAnsi="Times New Roman" w:eastAsia="仿宋_GB2312"/>
                <w:szCs w:val="21"/>
              </w:rPr>
            </w:pPr>
            <w:r>
              <w:rPr>
                <w:rFonts w:hint="eastAsia" w:ascii="Times New Roman" w:hAnsi="Times New Roman" w:eastAsia="仿宋_GB2312"/>
                <w:kern w:val="0"/>
                <w:szCs w:val="21"/>
              </w:rPr>
              <w:t>3.要求提供公开出版物</w:t>
            </w:r>
          </w:p>
        </w:tc>
        <w:tc>
          <w:tcPr>
            <w:tcW w:w="747"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trHeight w:val="397" w:hRule="exact"/>
          <w:jc w:val="center"/>
        </w:trPr>
        <w:tc>
          <w:tcPr>
            <w:tcW w:w="416" w:type="dxa"/>
            <w:vMerge w:val="continue"/>
            <w:shd w:val="clear" w:color="auto" w:fill="auto"/>
            <w:tcMar>
              <w:left w:w="108" w:type="dxa"/>
              <w:right w:w="108" w:type="dxa"/>
            </w:tcMar>
            <w:vAlign w:val="center"/>
          </w:tcPr>
          <w:p>
            <w:pPr>
              <w:keepNext w:val="0"/>
              <w:keepLines w:val="0"/>
              <w:pageBreakBefore w:val="0"/>
              <w:kinsoku/>
              <w:wordWrap w:val="0"/>
              <w:overflowPunct/>
              <w:topLinePunct w:val="0"/>
              <w:autoSpaceDE/>
              <w:autoSpaceDN/>
              <w:bidi w:val="0"/>
              <w:adjustRightInd/>
              <w:snapToGrid/>
              <w:textAlignment w:val="auto"/>
              <w:rPr>
                <w:rFonts w:ascii="Times New Roman" w:hAnsi="Times New Roman" w:eastAsia="黑体"/>
                <w:szCs w:val="21"/>
              </w:rPr>
            </w:pPr>
          </w:p>
        </w:tc>
        <w:tc>
          <w:tcPr>
            <w:tcW w:w="1701" w:type="dxa"/>
            <w:vMerge w:val="continue"/>
            <w:shd w:val="clear" w:color="auto" w:fill="auto"/>
            <w:tcMar>
              <w:left w:w="108" w:type="dxa"/>
              <w:right w:w="108" w:type="dxa"/>
            </w:tcMar>
            <w:vAlign w:val="center"/>
          </w:tcPr>
          <w:p>
            <w:pPr>
              <w:keepNext w:val="0"/>
              <w:keepLines w:val="0"/>
              <w:pageBreakBefore w:val="0"/>
              <w:kinsoku/>
              <w:wordWrap w:val="0"/>
              <w:overflowPunct/>
              <w:topLinePunct w:val="0"/>
              <w:autoSpaceDE/>
              <w:autoSpaceDN/>
              <w:bidi w:val="0"/>
              <w:adjustRightInd/>
              <w:snapToGrid/>
              <w:spacing w:line="200" w:lineRule="exact"/>
              <w:textAlignment w:val="auto"/>
              <w:rPr>
                <w:rFonts w:ascii="Times New Roman" w:hAnsi="Times New Roman" w:eastAsia="黑体"/>
                <w:szCs w:val="21"/>
              </w:rPr>
            </w:pPr>
          </w:p>
        </w:tc>
        <w:tc>
          <w:tcPr>
            <w:tcW w:w="2976"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00" w:lineRule="exact"/>
              <w:textAlignment w:val="auto"/>
              <w:rPr>
                <w:rFonts w:ascii="Times New Roman" w:hAnsi="Times New Roman" w:eastAsia="仿宋_GB2312"/>
                <w:szCs w:val="21"/>
              </w:rPr>
            </w:pPr>
            <w:r>
              <w:rPr>
                <w:rFonts w:hint="eastAsia" w:ascii="Times New Roman" w:hAnsi="Times New Roman" w:eastAsia="仿宋_GB2312"/>
                <w:kern w:val="0"/>
                <w:szCs w:val="21"/>
              </w:rPr>
              <w:t>4.无正当理由大量反复申请</w:t>
            </w:r>
          </w:p>
        </w:tc>
        <w:tc>
          <w:tcPr>
            <w:tcW w:w="747"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416" w:type="dxa"/>
            <w:vMerge w:val="continue"/>
            <w:shd w:val="clear" w:color="auto" w:fill="auto"/>
            <w:tcMar>
              <w:left w:w="108" w:type="dxa"/>
              <w:right w:w="108" w:type="dxa"/>
            </w:tcMar>
            <w:vAlign w:val="center"/>
          </w:tcPr>
          <w:p>
            <w:pPr>
              <w:keepNext w:val="0"/>
              <w:keepLines w:val="0"/>
              <w:pageBreakBefore w:val="0"/>
              <w:kinsoku/>
              <w:wordWrap w:val="0"/>
              <w:overflowPunct/>
              <w:topLinePunct w:val="0"/>
              <w:autoSpaceDE/>
              <w:autoSpaceDN/>
              <w:bidi w:val="0"/>
              <w:adjustRightInd/>
              <w:snapToGrid/>
              <w:textAlignment w:val="auto"/>
              <w:rPr>
                <w:rFonts w:ascii="Times New Roman" w:hAnsi="Times New Roman" w:eastAsia="黑体"/>
                <w:szCs w:val="21"/>
              </w:rPr>
            </w:pPr>
          </w:p>
        </w:tc>
        <w:tc>
          <w:tcPr>
            <w:tcW w:w="1701" w:type="dxa"/>
            <w:vMerge w:val="continue"/>
            <w:shd w:val="clear" w:color="auto" w:fill="auto"/>
            <w:tcMar>
              <w:left w:w="108" w:type="dxa"/>
              <w:right w:w="108" w:type="dxa"/>
            </w:tcMar>
            <w:vAlign w:val="center"/>
          </w:tcPr>
          <w:p>
            <w:pPr>
              <w:keepNext w:val="0"/>
              <w:keepLines w:val="0"/>
              <w:pageBreakBefore w:val="0"/>
              <w:kinsoku/>
              <w:wordWrap w:val="0"/>
              <w:overflowPunct/>
              <w:topLinePunct w:val="0"/>
              <w:autoSpaceDE/>
              <w:autoSpaceDN/>
              <w:bidi w:val="0"/>
              <w:adjustRightInd/>
              <w:snapToGrid/>
              <w:spacing w:line="200" w:lineRule="exact"/>
              <w:textAlignment w:val="auto"/>
              <w:rPr>
                <w:rFonts w:ascii="Times New Roman" w:hAnsi="Times New Roman" w:eastAsia="黑体"/>
                <w:szCs w:val="21"/>
              </w:rPr>
            </w:pPr>
          </w:p>
        </w:tc>
        <w:tc>
          <w:tcPr>
            <w:tcW w:w="2976"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300" w:lineRule="exact"/>
              <w:textAlignment w:val="auto"/>
              <w:rPr>
                <w:rFonts w:ascii="Times New Roman" w:hAnsi="Times New Roman" w:eastAsia="仿宋_GB2312"/>
                <w:kern w:val="0"/>
                <w:szCs w:val="21"/>
              </w:rPr>
            </w:pPr>
            <w:r>
              <w:rPr>
                <w:rFonts w:hint="eastAsia" w:ascii="Times New Roman" w:hAnsi="Times New Roman" w:eastAsia="仿宋_GB2312"/>
                <w:kern w:val="0"/>
                <w:szCs w:val="21"/>
              </w:rPr>
              <w:t>5.要求行政机关确认或重新</w:t>
            </w:r>
          </w:p>
          <w:p>
            <w:pPr>
              <w:keepNext w:val="0"/>
              <w:keepLines w:val="0"/>
              <w:pageBreakBefore w:val="0"/>
              <w:widowControl/>
              <w:kinsoku/>
              <w:wordWrap w:val="0"/>
              <w:overflowPunct/>
              <w:topLinePunct w:val="0"/>
              <w:autoSpaceDE/>
              <w:autoSpaceDN/>
              <w:bidi w:val="0"/>
              <w:adjustRightInd/>
              <w:snapToGrid/>
              <w:spacing w:line="300" w:lineRule="exact"/>
              <w:ind w:firstLine="210" w:firstLineChars="100"/>
              <w:textAlignment w:val="auto"/>
              <w:rPr>
                <w:rFonts w:ascii="Times New Roman" w:hAnsi="Times New Roman" w:eastAsia="仿宋_GB2312"/>
                <w:szCs w:val="21"/>
              </w:rPr>
            </w:pPr>
            <w:r>
              <w:rPr>
                <w:rFonts w:hint="eastAsia" w:ascii="Times New Roman" w:hAnsi="Times New Roman" w:eastAsia="仿宋_GB2312"/>
                <w:kern w:val="0"/>
                <w:szCs w:val="21"/>
              </w:rPr>
              <w:t>出具已获取信息</w:t>
            </w:r>
          </w:p>
        </w:tc>
        <w:tc>
          <w:tcPr>
            <w:tcW w:w="747"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416" w:type="dxa"/>
            <w:vMerge w:val="continue"/>
            <w:shd w:val="clear" w:color="auto" w:fill="auto"/>
            <w:tcMar>
              <w:left w:w="108" w:type="dxa"/>
              <w:right w:w="108" w:type="dxa"/>
            </w:tcMar>
            <w:vAlign w:val="center"/>
          </w:tcPr>
          <w:p>
            <w:pPr>
              <w:keepNext w:val="0"/>
              <w:keepLines w:val="0"/>
              <w:pageBreakBefore w:val="0"/>
              <w:kinsoku/>
              <w:wordWrap w:val="0"/>
              <w:overflowPunct/>
              <w:topLinePunct w:val="0"/>
              <w:autoSpaceDE/>
              <w:autoSpaceDN/>
              <w:bidi w:val="0"/>
              <w:adjustRightInd/>
              <w:snapToGrid/>
              <w:textAlignment w:val="auto"/>
              <w:rPr>
                <w:rFonts w:ascii="Times New Roman" w:hAnsi="Times New Roman" w:eastAsia="黑体"/>
                <w:szCs w:val="21"/>
              </w:rPr>
            </w:pPr>
          </w:p>
        </w:tc>
        <w:tc>
          <w:tcPr>
            <w:tcW w:w="1701" w:type="dxa"/>
            <w:vMerge w:val="restart"/>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300" w:lineRule="exact"/>
              <w:textAlignment w:val="auto"/>
              <w:rPr>
                <w:rFonts w:ascii="Times New Roman" w:hAnsi="Times New Roman" w:eastAsia="黑体"/>
                <w:kern w:val="0"/>
                <w:szCs w:val="21"/>
              </w:rPr>
            </w:pPr>
            <w:r>
              <w:rPr>
                <w:rFonts w:hint="eastAsia" w:ascii="Times New Roman" w:hAnsi="Times New Roman" w:eastAsia="黑体"/>
                <w:kern w:val="0"/>
                <w:szCs w:val="21"/>
              </w:rPr>
              <w:t>（六）其他处理</w:t>
            </w:r>
          </w:p>
        </w:tc>
        <w:tc>
          <w:tcPr>
            <w:tcW w:w="2976" w:type="dxa"/>
            <w:shd w:val="clear" w:color="auto" w:fill="auto"/>
            <w:vAlign w:val="center"/>
          </w:tcPr>
          <w:p>
            <w:pPr>
              <w:keepNext w:val="0"/>
              <w:keepLines w:val="0"/>
              <w:pageBreakBefore w:val="0"/>
              <w:widowControl/>
              <w:kinsoku/>
              <w:wordWrap w:val="0"/>
              <w:overflowPunct/>
              <w:topLinePunct w:val="0"/>
              <w:autoSpaceDE/>
              <w:autoSpaceDN/>
              <w:bidi w:val="0"/>
              <w:adjustRightInd/>
              <w:snapToGrid/>
              <w:spacing w:line="300" w:lineRule="exact"/>
              <w:textAlignment w:val="auto"/>
              <w:rPr>
                <w:rFonts w:ascii="Times New Roman" w:hAnsi="Times New Roman" w:eastAsia="仿宋_GB2312"/>
              </w:rPr>
            </w:pPr>
            <w:r>
              <w:rPr>
                <w:rFonts w:hint="eastAsia" w:ascii="Times New Roman" w:hAnsi="Times New Roman" w:eastAsia="仿宋_GB2312"/>
              </w:rPr>
              <w:t>1.申请人无正当理由逾期不补正、行政机关不再处理其政府信息公开申请</w:t>
            </w:r>
          </w:p>
        </w:tc>
        <w:tc>
          <w:tcPr>
            <w:tcW w:w="747"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szCs w:val="21"/>
              </w:rPr>
            </w:pPr>
            <w:r>
              <w:rPr>
                <w:rFonts w:hint="eastAsia" w:ascii="Times New Roman" w:hAnsi="Times New Roman" w:eastAsia="仿宋_GB2312"/>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416" w:type="dxa"/>
            <w:vMerge w:val="continue"/>
            <w:shd w:val="clear" w:color="auto" w:fill="auto"/>
            <w:tcMar>
              <w:left w:w="108" w:type="dxa"/>
              <w:right w:w="108" w:type="dxa"/>
            </w:tcMar>
            <w:vAlign w:val="center"/>
          </w:tcPr>
          <w:p>
            <w:pPr>
              <w:keepNext w:val="0"/>
              <w:keepLines w:val="0"/>
              <w:pageBreakBefore w:val="0"/>
              <w:kinsoku/>
              <w:wordWrap w:val="0"/>
              <w:overflowPunct/>
              <w:topLinePunct w:val="0"/>
              <w:autoSpaceDE/>
              <w:autoSpaceDN/>
              <w:bidi w:val="0"/>
              <w:adjustRightInd/>
              <w:snapToGrid/>
              <w:textAlignment w:val="auto"/>
              <w:rPr>
                <w:rFonts w:ascii="Times New Roman" w:hAnsi="Times New Roman" w:eastAsia="黑体"/>
                <w:szCs w:val="21"/>
              </w:rPr>
            </w:pPr>
          </w:p>
        </w:tc>
        <w:tc>
          <w:tcPr>
            <w:tcW w:w="1701" w:type="dxa"/>
            <w:vMerge w:val="continue"/>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300" w:lineRule="exact"/>
              <w:textAlignment w:val="auto"/>
              <w:rPr>
                <w:rFonts w:ascii="Times New Roman" w:hAnsi="Times New Roman" w:eastAsia="黑体"/>
                <w:kern w:val="0"/>
                <w:szCs w:val="21"/>
              </w:rPr>
            </w:pPr>
          </w:p>
        </w:tc>
        <w:tc>
          <w:tcPr>
            <w:tcW w:w="2976" w:type="dxa"/>
            <w:shd w:val="clear" w:color="auto" w:fill="auto"/>
            <w:vAlign w:val="center"/>
          </w:tcPr>
          <w:p>
            <w:pPr>
              <w:keepNext w:val="0"/>
              <w:keepLines w:val="0"/>
              <w:pageBreakBefore w:val="0"/>
              <w:widowControl/>
              <w:kinsoku/>
              <w:wordWrap w:val="0"/>
              <w:overflowPunct/>
              <w:topLinePunct w:val="0"/>
              <w:autoSpaceDE/>
              <w:autoSpaceDN/>
              <w:bidi w:val="0"/>
              <w:adjustRightInd/>
              <w:snapToGrid/>
              <w:spacing w:line="300" w:lineRule="exact"/>
              <w:textAlignment w:val="auto"/>
              <w:rPr>
                <w:rFonts w:ascii="Times New Roman" w:hAnsi="Times New Roman" w:eastAsia="仿宋_GB2312"/>
                <w:kern w:val="0"/>
                <w:szCs w:val="21"/>
              </w:rPr>
            </w:pPr>
            <w:r>
              <w:rPr>
                <w:rFonts w:hint="eastAsia" w:ascii="Times New Roman" w:hAnsi="Times New Roman" w:eastAsia="仿宋_GB2312"/>
              </w:rPr>
              <w:t>2.申请人逾期未按收费通知要求缴纳费用、行政机关不再处理其政府信息公开申请</w:t>
            </w:r>
          </w:p>
        </w:tc>
        <w:tc>
          <w:tcPr>
            <w:tcW w:w="747"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color w:val="auto"/>
                <w:szCs w:val="21"/>
              </w:rPr>
            </w:pPr>
            <w:r>
              <w:rPr>
                <w:rFonts w:hint="eastAsia" w:ascii="Times New Roman" w:hAnsi="Times New Roman" w:eastAsia="仿宋_GB2312"/>
                <w:color w:val="auto"/>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color w:val="auto"/>
                <w:szCs w:val="21"/>
              </w:rPr>
            </w:pPr>
            <w:r>
              <w:rPr>
                <w:rFonts w:hint="eastAsia" w:ascii="Times New Roman" w:hAnsi="Times New Roman" w:eastAsia="仿宋_GB2312"/>
                <w:color w:val="auto"/>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color w:val="auto"/>
                <w:szCs w:val="21"/>
              </w:rPr>
            </w:pPr>
            <w:r>
              <w:rPr>
                <w:rFonts w:hint="eastAsia" w:ascii="Times New Roman" w:hAnsi="Times New Roman" w:eastAsia="仿宋_GB2312"/>
                <w:color w:val="auto"/>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color w:val="auto"/>
                <w:szCs w:val="21"/>
              </w:rPr>
            </w:pPr>
            <w:r>
              <w:rPr>
                <w:rFonts w:hint="eastAsia" w:ascii="Times New Roman" w:hAnsi="Times New Roman" w:eastAsia="仿宋_GB2312"/>
                <w:color w:val="auto"/>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color w:val="auto"/>
                <w:szCs w:val="21"/>
              </w:rPr>
            </w:pPr>
            <w:r>
              <w:rPr>
                <w:rFonts w:hint="eastAsia" w:ascii="Times New Roman" w:hAnsi="Times New Roman" w:eastAsia="仿宋_GB2312"/>
                <w:color w:val="auto"/>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color w:val="auto"/>
                <w:szCs w:val="21"/>
              </w:rPr>
            </w:pPr>
            <w:r>
              <w:rPr>
                <w:rFonts w:hint="eastAsia" w:ascii="Times New Roman" w:hAnsi="Times New Roman" w:eastAsia="仿宋_GB2312"/>
                <w:color w:val="auto"/>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color w:val="auto"/>
                <w:szCs w:val="21"/>
              </w:rPr>
            </w:pPr>
            <w:r>
              <w:rPr>
                <w:rFonts w:hint="eastAsia" w:ascii="Times New Roman" w:hAnsi="Times New Roman" w:eastAsia="仿宋_GB2312"/>
                <w:color w:val="auto"/>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416" w:type="dxa"/>
            <w:vMerge w:val="continue"/>
            <w:shd w:val="clear" w:color="auto" w:fill="auto"/>
            <w:tcMar>
              <w:left w:w="108" w:type="dxa"/>
              <w:right w:w="108" w:type="dxa"/>
            </w:tcMar>
            <w:vAlign w:val="center"/>
          </w:tcPr>
          <w:p>
            <w:pPr>
              <w:keepNext w:val="0"/>
              <w:keepLines w:val="0"/>
              <w:pageBreakBefore w:val="0"/>
              <w:kinsoku/>
              <w:wordWrap w:val="0"/>
              <w:overflowPunct/>
              <w:topLinePunct w:val="0"/>
              <w:autoSpaceDE/>
              <w:autoSpaceDN/>
              <w:bidi w:val="0"/>
              <w:adjustRightInd/>
              <w:snapToGrid/>
              <w:textAlignment w:val="auto"/>
              <w:rPr>
                <w:rFonts w:ascii="Times New Roman" w:hAnsi="Times New Roman" w:eastAsia="黑体"/>
                <w:szCs w:val="21"/>
              </w:rPr>
            </w:pPr>
          </w:p>
        </w:tc>
        <w:tc>
          <w:tcPr>
            <w:tcW w:w="1701" w:type="dxa"/>
            <w:vMerge w:val="continue"/>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300" w:lineRule="exact"/>
              <w:textAlignment w:val="auto"/>
              <w:rPr>
                <w:rFonts w:ascii="Times New Roman" w:hAnsi="Times New Roman" w:eastAsia="黑体"/>
                <w:kern w:val="0"/>
                <w:szCs w:val="21"/>
              </w:rPr>
            </w:pPr>
          </w:p>
        </w:tc>
        <w:tc>
          <w:tcPr>
            <w:tcW w:w="2976" w:type="dxa"/>
            <w:shd w:val="clear" w:color="auto" w:fill="auto"/>
            <w:vAlign w:val="center"/>
          </w:tcPr>
          <w:p>
            <w:pPr>
              <w:keepNext w:val="0"/>
              <w:keepLines w:val="0"/>
              <w:pageBreakBefore w:val="0"/>
              <w:widowControl/>
              <w:kinsoku/>
              <w:wordWrap w:val="0"/>
              <w:overflowPunct/>
              <w:topLinePunct w:val="0"/>
              <w:autoSpaceDE/>
              <w:autoSpaceDN/>
              <w:bidi w:val="0"/>
              <w:adjustRightInd/>
              <w:snapToGrid/>
              <w:spacing w:line="300" w:lineRule="exact"/>
              <w:textAlignment w:val="auto"/>
              <w:rPr>
                <w:rFonts w:ascii="Times New Roman" w:hAnsi="Times New Roman" w:eastAsia="仿宋_GB2312"/>
                <w:kern w:val="0"/>
                <w:szCs w:val="21"/>
              </w:rPr>
            </w:pPr>
            <w:r>
              <w:rPr>
                <w:rFonts w:hint="eastAsia" w:ascii="Times New Roman" w:hAnsi="Times New Roman" w:eastAsia="仿宋_GB2312"/>
              </w:rPr>
              <w:t>3.其他</w:t>
            </w:r>
          </w:p>
        </w:tc>
        <w:tc>
          <w:tcPr>
            <w:tcW w:w="747"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hint="eastAsia" w:ascii="Times New Roman" w:hAnsi="Times New Roman" w:eastAsia="仿宋_GB2312"/>
                <w:color w:val="auto"/>
                <w:szCs w:val="21"/>
                <w:lang w:val="en-US" w:eastAsia="zh-CN"/>
              </w:rPr>
            </w:pPr>
            <w:r>
              <w:rPr>
                <w:rFonts w:hint="eastAsia" w:ascii="Times New Roman" w:hAnsi="Times New Roman" w:eastAsia="仿宋_GB2312"/>
                <w:color w:val="auto"/>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hint="eastAsia" w:ascii="Times New Roman" w:hAnsi="Times New Roman" w:eastAsia="仿宋_GB2312"/>
                <w:color w:val="auto"/>
                <w:szCs w:val="21"/>
                <w:lang w:val="en-US" w:eastAsia="zh-CN"/>
              </w:rPr>
            </w:pPr>
            <w:r>
              <w:rPr>
                <w:rFonts w:hint="eastAsia" w:ascii="Times New Roman" w:hAnsi="Times New Roman" w:eastAsia="仿宋_GB2312"/>
                <w:color w:val="auto"/>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color w:val="auto"/>
                <w:szCs w:val="21"/>
              </w:rPr>
            </w:pPr>
            <w:r>
              <w:rPr>
                <w:rFonts w:hint="eastAsia" w:ascii="Times New Roman" w:hAnsi="Times New Roman" w:eastAsia="仿宋_GB2312"/>
                <w:color w:val="auto"/>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color w:val="auto"/>
                <w:szCs w:val="21"/>
              </w:rPr>
            </w:pPr>
            <w:r>
              <w:rPr>
                <w:rFonts w:hint="eastAsia" w:ascii="Times New Roman" w:hAnsi="Times New Roman" w:eastAsia="仿宋_GB2312"/>
                <w:color w:val="auto"/>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color w:val="auto"/>
                <w:szCs w:val="21"/>
              </w:rPr>
            </w:pPr>
            <w:r>
              <w:rPr>
                <w:rFonts w:hint="eastAsia" w:ascii="Times New Roman" w:hAnsi="Times New Roman" w:eastAsia="仿宋_GB2312"/>
                <w:color w:val="auto"/>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color w:val="auto"/>
                <w:szCs w:val="21"/>
              </w:rPr>
            </w:pPr>
            <w:r>
              <w:rPr>
                <w:rFonts w:hint="eastAsia" w:ascii="Times New Roman" w:hAnsi="Times New Roman" w:eastAsia="仿宋_GB2312"/>
                <w:color w:val="auto"/>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color w:val="auto"/>
                <w:szCs w:val="21"/>
                <w:lang w:val="en-US"/>
              </w:rPr>
            </w:pPr>
            <w:r>
              <w:rPr>
                <w:rFonts w:hint="eastAsia" w:ascii="Times New Roman" w:hAnsi="Times New Roman" w:eastAsia="仿宋_GB2312"/>
                <w:color w:val="auto"/>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416" w:type="dxa"/>
            <w:vMerge w:val="continue"/>
            <w:shd w:val="clear" w:color="auto" w:fill="auto"/>
            <w:tcMar>
              <w:left w:w="108" w:type="dxa"/>
              <w:right w:w="108" w:type="dxa"/>
            </w:tcMar>
            <w:vAlign w:val="center"/>
          </w:tcPr>
          <w:p>
            <w:pPr>
              <w:keepNext w:val="0"/>
              <w:keepLines w:val="0"/>
              <w:pageBreakBefore w:val="0"/>
              <w:kinsoku/>
              <w:wordWrap w:val="0"/>
              <w:overflowPunct/>
              <w:topLinePunct w:val="0"/>
              <w:autoSpaceDE/>
              <w:autoSpaceDN/>
              <w:bidi w:val="0"/>
              <w:adjustRightInd/>
              <w:snapToGrid/>
              <w:textAlignment w:val="auto"/>
              <w:rPr>
                <w:rFonts w:ascii="Times New Roman" w:hAnsi="Times New Roman" w:eastAsia="黑体"/>
                <w:szCs w:val="21"/>
              </w:rPr>
            </w:pPr>
          </w:p>
        </w:tc>
        <w:tc>
          <w:tcPr>
            <w:tcW w:w="4677"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300" w:lineRule="exact"/>
              <w:textAlignment w:val="auto"/>
              <w:rPr>
                <w:rFonts w:ascii="Times New Roman" w:hAnsi="Times New Roman" w:eastAsia="黑体"/>
                <w:kern w:val="0"/>
                <w:szCs w:val="21"/>
              </w:rPr>
            </w:pPr>
            <w:r>
              <w:rPr>
                <w:rFonts w:hint="eastAsia" w:ascii="Times New Roman" w:hAnsi="Times New Roman" w:eastAsia="黑体"/>
                <w:kern w:val="0"/>
                <w:szCs w:val="21"/>
              </w:rPr>
              <w:t>（七）总计</w:t>
            </w:r>
          </w:p>
        </w:tc>
        <w:tc>
          <w:tcPr>
            <w:tcW w:w="747"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color w:val="auto"/>
                <w:szCs w:val="21"/>
              </w:rPr>
            </w:pPr>
            <w:r>
              <w:rPr>
                <w:rFonts w:hint="eastAsia" w:ascii="Times New Roman" w:hAnsi="Times New Roman" w:eastAsia="仿宋_GB2312"/>
                <w:color w:val="auto"/>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color w:val="auto"/>
                <w:szCs w:val="21"/>
              </w:rPr>
            </w:pPr>
            <w:r>
              <w:rPr>
                <w:rFonts w:hint="eastAsia" w:ascii="Times New Roman" w:hAnsi="Times New Roman" w:eastAsia="仿宋_GB2312"/>
                <w:color w:val="auto"/>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color w:val="auto"/>
                <w:szCs w:val="21"/>
              </w:rPr>
            </w:pPr>
            <w:r>
              <w:rPr>
                <w:rFonts w:hint="eastAsia" w:ascii="Times New Roman" w:hAnsi="Times New Roman" w:eastAsia="仿宋_GB2312"/>
                <w:color w:val="auto"/>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color w:val="auto"/>
                <w:szCs w:val="21"/>
              </w:rPr>
            </w:pPr>
            <w:r>
              <w:rPr>
                <w:rFonts w:hint="eastAsia" w:ascii="Times New Roman" w:hAnsi="Times New Roman" w:eastAsia="仿宋_GB2312"/>
                <w:color w:val="auto"/>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color w:val="auto"/>
                <w:szCs w:val="21"/>
              </w:rPr>
            </w:pPr>
            <w:r>
              <w:rPr>
                <w:rFonts w:hint="eastAsia" w:ascii="Times New Roman" w:hAnsi="Times New Roman" w:eastAsia="仿宋_GB2312"/>
                <w:color w:val="auto"/>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color w:val="auto"/>
                <w:szCs w:val="21"/>
              </w:rPr>
            </w:pPr>
            <w:r>
              <w:rPr>
                <w:rFonts w:hint="eastAsia" w:ascii="Times New Roman" w:hAnsi="Times New Roman" w:eastAsia="仿宋_GB2312"/>
                <w:color w:val="auto"/>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color w:val="auto"/>
                <w:szCs w:val="21"/>
                <w:lang w:val="en-US"/>
              </w:rPr>
            </w:pPr>
            <w:r>
              <w:rPr>
                <w:rFonts w:hint="eastAsia" w:ascii="Times New Roman" w:hAnsi="Times New Roman" w:eastAsia="仿宋_GB2312"/>
                <w:color w:val="auto"/>
                <w:szCs w:val="21"/>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Ex>
        <w:trPr>
          <w:jc w:val="center"/>
        </w:trPr>
        <w:tc>
          <w:tcPr>
            <w:tcW w:w="5093" w:type="dxa"/>
            <w:gridSpan w:val="3"/>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300" w:lineRule="exact"/>
              <w:textAlignment w:val="auto"/>
              <w:rPr>
                <w:rFonts w:ascii="Times New Roman" w:hAnsi="Times New Roman" w:eastAsia="黑体"/>
                <w:kern w:val="0"/>
                <w:szCs w:val="21"/>
              </w:rPr>
            </w:pPr>
            <w:r>
              <w:rPr>
                <w:rFonts w:hint="eastAsia" w:ascii="Times New Roman" w:hAnsi="Times New Roman" w:eastAsia="黑体"/>
                <w:kern w:val="0"/>
                <w:szCs w:val="21"/>
              </w:rPr>
              <w:t>四、结转下年度继续办理</w:t>
            </w:r>
          </w:p>
        </w:tc>
        <w:tc>
          <w:tcPr>
            <w:tcW w:w="747"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color w:val="auto"/>
                <w:szCs w:val="21"/>
              </w:rPr>
            </w:pPr>
            <w:r>
              <w:rPr>
                <w:rFonts w:hint="eastAsia" w:ascii="Times New Roman" w:hAnsi="Times New Roman" w:eastAsia="仿宋_GB2312"/>
                <w:color w:val="auto"/>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color w:val="auto"/>
                <w:szCs w:val="21"/>
              </w:rPr>
            </w:pPr>
            <w:r>
              <w:rPr>
                <w:rFonts w:hint="eastAsia" w:ascii="Times New Roman" w:hAnsi="Times New Roman" w:eastAsia="仿宋_GB2312"/>
                <w:color w:val="auto"/>
                <w:szCs w:val="21"/>
                <w:lang w:val="en-US" w:eastAsia="zh-CN"/>
              </w:rPr>
              <w:t>0</w:t>
            </w:r>
          </w:p>
        </w:tc>
        <w:tc>
          <w:tcPr>
            <w:tcW w:w="540"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color w:val="auto"/>
                <w:szCs w:val="21"/>
              </w:rPr>
            </w:pPr>
            <w:r>
              <w:rPr>
                <w:rFonts w:hint="eastAsia" w:ascii="Times New Roman" w:hAnsi="Times New Roman" w:eastAsia="仿宋_GB2312"/>
                <w:color w:val="auto"/>
                <w:szCs w:val="21"/>
                <w:lang w:val="en-US" w:eastAsia="zh-CN"/>
              </w:rPr>
              <w:t>0</w:t>
            </w:r>
          </w:p>
        </w:tc>
        <w:tc>
          <w:tcPr>
            <w:tcW w:w="720"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color w:val="auto"/>
                <w:szCs w:val="21"/>
              </w:rPr>
            </w:pPr>
            <w:r>
              <w:rPr>
                <w:rFonts w:hint="eastAsia" w:ascii="Times New Roman" w:hAnsi="Times New Roman" w:eastAsia="仿宋_GB2312"/>
                <w:color w:val="auto"/>
                <w:szCs w:val="21"/>
                <w:lang w:val="en-US" w:eastAsia="zh-CN"/>
              </w:rPr>
              <w:t>0</w:t>
            </w:r>
          </w:p>
        </w:tc>
        <w:tc>
          <w:tcPr>
            <w:tcW w:w="675"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color w:val="auto"/>
                <w:szCs w:val="21"/>
              </w:rPr>
            </w:pPr>
            <w:r>
              <w:rPr>
                <w:rFonts w:hint="eastAsia" w:ascii="Times New Roman" w:hAnsi="Times New Roman" w:eastAsia="仿宋_GB2312"/>
                <w:color w:val="auto"/>
                <w:szCs w:val="21"/>
                <w:lang w:val="en-US" w:eastAsia="zh-CN"/>
              </w:rPr>
              <w:t>0</w:t>
            </w:r>
          </w:p>
        </w:tc>
        <w:tc>
          <w:tcPr>
            <w:tcW w:w="525" w:type="dxa"/>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color w:val="auto"/>
                <w:szCs w:val="21"/>
              </w:rPr>
            </w:pPr>
            <w:r>
              <w:rPr>
                <w:rFonts w:hint="eastAsia" w:ascii="Times New Roman" w:hAnsi="Times New Roman" w:eastAsia="仿宋_GB2312"/>
                <w:color w:val="auto"/>
                <w:szCs w:val="21"/>
                <w:lang w:val="en-US" w:eastAsia="zh-CN"/>
              </w:rPr>
              <w:t>0</w:t>
            </w:r>
          </w:p>
        </w:tc>
        <w:tc>
          <w:tcPr>
            <w:tcW w:w="701" w:type="dxa"/>
            <w:gridSpan w:val="2"/>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240" w:lineRule="exact"/>
              <w:jc w:val="center"/>
              <w:textAlignment w:val="auto"/>
              <w:outlineLvl w:val="9"/>
              <w:rPr>
                <w:rFonts w:ascii="Times New Roman" w:hAnsi="Times New Roman" w:eastAsia="仿宋_GB2312"/>
                <w:color w:val="auto"/>
                <w:szCs w:val="21"/>
                <w:lang w:val="en-US"/>
              </w:rPr>
            </w:pPr>
            <w:r>
              <w:rPr>
                <w:rFonts w:hint="eastAsia" w:ascii="Times New Roman" w:hAnsi="Times New Roman" w:eastAsia="仿宋_GB2312"/>
                <w:color w:val="auto"/>
                <w:szCs w:val="21"/>
                <w:lang w:val="en-US" w:eastAsia="zh-CN"/>
              </w:rPr>
              <w:t>0</w:t>
            </w:r>
          </w:p>
        </w:tc>
      </w:tr>
    </w:tbl>
    <w:p>
      <w:pPr>
        <w:keepNext w:val="0"/>
        <w:keepLines w:val="0"/>
        <w:pageBreakBefore w:val="0"/>
        <w:widowControl w:val="0"/>
        <w:kinsoku/>
        <w:wordWrap w:val="0"/>
        <w:overflowPunct/>
        <w:topLinePunct w:val="0"/>
        <w:autoSpaceDE/>
        <w:autoSpaceDN/>
        <w:bidi w:val="0"/>
        <w:adjustRightInd/>
        <w:snapToGrid/>
        <w:spacing w:line="560" w:lineRule="exact"/>
        <w:ind w:right="0" w:rightChars="0"/>
        <w:jc w:val="both"/>
        <w:textAlignment w:val="auto"/>
        <w:outlineLvl w:val="9"/>
        <w:rPr>
          <w:rFonts w:hint="eastAsia" w:ascii="Times New Roman" w:hAnsi="Times New Roman" w:eastAsia="黑体" w:cs="黑体"/>
          <w:b w:val="0"/>
          <w:bCs/>
          <w:i w:val="0"/>
          <w:caps w:val="0"/>
          <w:color w:val="333333"/>
          <w:spacing w:val="0"/>
          <w:kern w:val="0"/>
          <w:sz w:val="32"/>
          <w:szCs w:val="32"/>
          <w:shd w:val="clear" w:fill="FFFFFF"/>
          <w:lang w:val="en-US" w:eastAsia="zh-CN" w:bidi="ar"/>
        </w:rPr>
      </w:pPr>
    </w:p>
    <w:p>
      <w:pPr>
        <w:keepNext w:val="0"/>
        <w:keepLines w:val="0"/>
        <w:pageBreakBefore w:val="0"/>
        <w:widowControl w:val="0"/>
        <w:kinsoku/>
        <w:wordWrap w:val="0"/>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ascii="Times New Roman" w:hAnsi="Times New Roman" w:eastAsia="仿宋_GB2312"/>
          <w:sz w:val="32"/>
          <w:szCs w:val="32"/>
        </w:rPr>
      </w:pPr>
      <w:r>
        <w:rPr>
          <w:rFonts w:hint="eastAsia" w:ascii="Times New Roman" w:hAnsi="Times New Roman" w:eastAsia="黑体" w:cs="黑体"/>
          <w:b w:val="0"/>
          <w:bCs/>
          <w:i w:val="0"/>
          <w:caps w:val="0"/>
          <w:color w:val="333333"/>
          <w:spacing w:val="0"/>
          <w:kern w:val="0"/>
          <w:sz w:val="32"/>
          <w:szCs w:val="32"/>
          <w:shd w:val="clear" w:fill="FFFFFF"/>
          <w:lang w:val="en-US" w:eastAsia="zh-CN" w:bidi="ar"/>
        </w:rPr>
        <w:t>四、政府信息公开行政复议、行政诉讼情况</w:t>
      </w:r>
    </w:p>
    <w:tbl>
      <w:tblPr>
        <w:tblStyle w:val="8"/>
        <w:tblW w:w="9071" w:type="dxa"/>
        <w:jc w:val="center"/>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604"/>
        <w:gridCol w:w="604"/>
        <w:gridCol w:w="604"/>
        <w:gridCol w:w="604"/>
        <w:gridCol w:w="658"/>
        <w:gridCol w:w="550"/>
        <w:gridCol w:w="605"/>
        <w:gridCol w:w="605"/>
        <w:gridCol w:w="605"/>
        <w:gridCol w:w="605"/>
        <w:gridCol w:w="605"/>
        <w:gridCol w:w="605"/>
        <w:gridCol w:w="605"/>
        <w:gridCol w:w="606"/>
        <w:gridCol w:w="606"/>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497" w:hRule="atLeast"/>
          <w:jc w:val="center"/>
        </w:trPr>
        <w:tc>
          <w:tcPr>
            <w:tcW w:w="3074"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jc w:val="center"/>
              <w:textAlignment w:val="auto"/>
              <w:rPr>
                <w:rFonts w:ascii="Times New Roman" w:hAnsi="Times New Roman" w:eastAsia="黑体"/>
              </w:rPr>
            </w:pPr>
            <w:r>
              <w:rPr>
                <w:rFonts w:ascii="Times New Roman" w:hAnsi="Times New Roman" w:eastAsia="黑体"/>
                <w:kern w:val="0"/>
                <w:sz w:val="20"/>
                <w:szCs w:val="20"/>
              </w:rPr>
              <w:t>行政复议</w:t>
            </w:r>
          </w:p>
        </w:tc>
        <w:tc>
          <w:tcPr>
            <w:tcW w:w="5997" w:type="dxa"/>
            <w:gridSpan w:val="10"/>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jc w:val="center"/>
              <w:textAlignment w:val="auto"/>
              <w:rPr>
                <w:rFonts w:ascii="Times New Roman" w:hAnsi="Times New Roman" w:eastAsia="黑体"/>
              </w:rPr>
            </w:pPr>
            <w:r>
              <w:rPr>
                <w:rFonts w:ascii="Times New Roman" w:hAnsi="Times New Roman" w:eastAsia="黑体"/>
                <w:kern w:val="0"/>
                <w:sz w:val="20"/>
                <w:szCs w:val="20"/>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547" w:hRule="atLeast"/>
          <w:jc w:val="center"/>
        </w:trPr>
        <w:tc>
          <w:tcPr>
            <w:tcW w:w="604"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ind w:left="-149" w:leftChars="-71" w:right="-170" w:rightChars="-81"/>
              <w:jc w:val="center"/>
              <w:textAlignment w:val="auto"/>
              <w:rPr>
                <w:rFonts w:ascii="Times New Roman" w:hAnsi="Times New Roman" w:eastAsia="黑体"/>
                <w:kern w:val="0"/>
                <w:sz w:val="20"/>
                <w:szCs w:val="20"/>
              </w:rPr>
            </w:pPr>
            <w:r>
              <w:rPr>
                <w:rFonts w:ascii="Times New Roman" w:hAnsi="Times New Roman" w:eastAsia="黑体"/>
                <w:kern w:val="0"/>
                <w:sz w:val="20"/>
                <w:szCs w:val="20"/>
              </w:rPr>
              <w:t>结果</w:t>
            </w:r>
          </w:p>
          <w:p>
            <w:pPr>
              <w:keepNext w:val="0"/>
              <w:keepLines w:val="0"/>
              <w:pageBreakBefore w:val="0"/>
              <w:widowControl/>
              <w:kinsoku/>
              <w:wordWrap w:val="0"/>
              <w:overflowPunct/>
              <w:topLinePunct w:val="0"/>
              <w:autoSpaceDE/>
              <w:autoSpaceDN/>
              <w:bidi w:val="0"/>
              <w:adjustRightInd/>
              <w:snapToGrid/>
              <w:ind w:left="-149" w:leftChars="-71" w:right="-170" w:rightChars="-81"/>
              <w:jc w:val="center"/>
              <w:textAlignment w:val="auto"/>
              <w:rPr>
                <w:rFonts w:ascii="Times New Roman" w:hAnsi="Times New Roman" w:eastAsia="黑体"/>
              </w:rPr>
            </w:pPr>
            <w:r>
              <w:rPr>
                <w:rFonts w:ascii="Times New Roman" w:hAnsi="Times New Roman" w:eastAsia="黑体"/>
                <w:kern w:val="0"/>
                <w:sz w:val="20"/>
                <w:szCs w:val="20"/>
              </w:rPr>
              <w:t>维持</w:t>
            </w:r>
          </w:p>
        </w:tc>
        <w:tc>
          <w:tcPr>
            <w:tcW w:w="604"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ind w:left="-43" w:leftChars="-21" w:right="-132" w:rightChars="-63" w:hanging="1"/>
              <w:jc w:val="center"/>
              <w:textAlignment w:val="auto"/>
              <w:rPr>
                <w:rFonts w:ascii="Times New Roman" w:hAnsi="Times New Roman" w:eastAsia="黑体"/>
              </w:rPr>
            </w:pPr>
            <w:r>
              <w:rPr>
                <w:rFonts w:ascii="Times New Roman" w:hAnsi="Times New Roman" w:eastAsia="黑体"/>
                <w:kern w:val="0"/>
                <w:sz w:val="20"/>
                <w:szCs w:val="20"/>
              </w:rPr>
              <w:t>结果纠正</w:t>
            </w:r>
          </w:p>
        </w:tc>
        <w:tc>
          <w:tcPr>
            <w:tcW w:w="604"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ind w:left="-82" w:leftChars="-39" w:right="-97" w:rightChars="-46"/>
              <w:jc w:val="center"/>
              <w:textAlignment w:val="auto"/>
              <w:rPr>
                <w:rFonts w:ascii="Times New Roman" w:hAnsi="Times New Roman" w:eastAsia="黑体"/>
              </w:rPr>
            </w:pPr>
            <w:r>
              <w:rPr>
                <w:rFonts w:ascii="Times New Roman" w:hAnsi="Times New Roman" w:eastAsia="黑体"/>
                <w:kern w:val="0"/>
                <w:sz w:val="20"/>
                <w:szCs w:val="20"/>
              </w:rPr>
              <w:t>其他结果</w:t>
            </w:r>
          </w:p>
        </w:tc>
        <w:tc>
          <w:tcPr>
            <w:tcW w:w="604"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ind w:left="-118" w:leftChars="-56" w:right="-118" w:rightChars="-56"/>
              <w:jc w:val="center"/>
              <w:textAlignment w:val="auto"/>
              <w:rPr>
                <w:rFonts w:ascii="Times New Roman" w:hAnsi="Times New Roman" w:eastAsia="黑体"/>
                <w:kern w:val="0"/>
                <w:sz w:val="20"/>
                <w:szCs w:val="20"/>
              </w:rPr>
            </w:pPr>
            <w:r>
              <w:rPr>
                <w:rFonts w:ascii="Times New Roman" w:hAnsi="Times New Roman" w:eastAsia="黑体"/>
                <w:kern w:val="0"/>
                <w:sz w:val="20"/>
                <w:szCs w:val="20"/>
              </w:rPr>
              <w:t>尚未</w:t>
            </w:r>
          </w:p>
          <w:p>
            <w:pPr>
              <w:keepNext w:val="0"/>
              <w:keepLines w:val="0"/>
              <w:pageBreakBefore w:val="0"/>
              <w:widowControl/>
              <w:kinsoku/>
              <w:wordWrap w:val="0"/>
              <w:overflowPunct/>
              <w:topLinePunct w:val="0"/>
              <w:autoSpaceDE/>
              <w:autoSpaceDN/>
              <w:bidi w:val="0"/>
              <w:adjustRightInd/>
              <w:snapToGrid/>
              <w:ind w:left="-118" w:leftChars="-56" w:right="-118" w:rightChars="-56"/>
              <w:jc w:val="center"/>
              <w:textAlignment w:val="auto"/>
              <w:rPr>
                <w:rFonts w:ascii="Times New Roman" w:hAnsi="Times New Roman" w:eastAsia="黑体"/>
              </w:rPr>
            </w:pPr>
            <w:r>
              <w:rPr>
                <w:rFonts w:ascii="Times New Roman" w:hAnsi="Times New Roman" w:eastAsia="黑体"/>
                <w:kern w:val="0"/>
                <w:sz w:val="20"/>
                <w:szCs w:val="20"/>
              </w:rPr>
              <w:t>审结</w:t>
            </w:r>
          </w:p>
        </w:tc>
        <w:tc>
          <w:tcPr>
            <w:tcW w:w="658"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line="320" w:lineRule="exact"/>
              <w:jc w:val="center"/>
              <w:textAlignment w:val="auto"/>
              <w:rPr>
                <w:rFonts w:ascii="Times New Roman" w:hAnsi="Times New Roman" w:eastAsia="黑体"/>
                <w:kern w:val="0"/>
                <w:sz w:val="20"/>
                <w:szCs w:val="20"/>
              </w:rPr>
            </w:pPr>
            <w:r>
              <w:rPr>
                <w:rFonts w:ascii="Times New Roman" w:hAnsi="Times New Roman" w:eastAsia="黑体"/>
                <w:kern w:val="0"/>
                <w:sz w:val="20"/>
                <w:szCs w:val="20"/>
              </w:rPr>
              <w:t>总</w:t>
            </w:r>
          </w:p>
          <w:p>
            <w:pPr>
              <w:keepNext w:val="0"/>
              <w:keepLines w:val="0"/>
              <w:pageBreakBefore w:val="0"/>
              <w:widowControl/>
              <w:kinsoku/>
              <w:wordWrap w:val="0"/>
              <w:overflowPunct/>
              <w:topLinePunct w:val="0"/>
              <w:autoSpaceDE/>
              <w:autoSpaceDN/>
              <w:bidi w:val="0"/>
              <w:adjustRightInd/>
              <w:snapToGrid/>
              <w:spacing w:line="320" w:lineRule="exact"/>
              <w:jc w:val="center"/>
              <w:textAlignment w:val="auto"/>
              <w:rPr>
                <w:rFonts w:ascii="Times New Roman" w:hAnsi="Times New Roman" w:eastAsia="黑体"/>
              </w:rPr>
            </w:pPr>
            <w:r>
              <w:rPr>
                <w:rFonts w:ascii="Times New Roman" w:hAnsi="Times New Roman" w:eastAsia="黑体"/>
                <w:kern w:val="0"/>
                <w:sz w:val="20"/>
                <w:szCs w:val="20"/>
              </w:rPr>
              <w:t>计</w:t>
            </w:r>
          </w:p>
        </w:tc>
        <w:tc>
          <w:tcPr>
            <w:tcW w:w="2970" w:type="dxa"/>
            <w:gridSpan w:val="5"/>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jc w:val="center"/>
              <w:textAlignment w:val="auto"/>
              <w:rPr>
                <w:rFonts w:ascii="Times New Roman" w:hAnsi="Times New Roman" w:eastAsia="黑体"/>
              </w:rPr>
            </w:pPr>
            <w:r>
              <w:rPr>
                <w:rFonts w:ascii="Times New Roman" w:hAnsi="Times New Roman" w:eastAsia="黑体"/>
                <w:kern w:val="0"/>
                <w:sz w:val="20"/>
                <w:szCs w:val="20"/>
              </w:rPr>
              <w:t>未经复议直接起诉</w:t>
            </w:r>
          </w:p>
        </w:tc>
        <w:tc>
          <w:tcPr>
            <w:tcW w:w="3027" w:type="dxa"/>
            <w:gridSpan w:val="5"/>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jc w:val="center"/>
              <w:textAlignment w:val="auto"/>
              <w:rPr>
                <w:rFonts w:ascii="Times New Roman" w:hAnsi="Times New Roman" w:eastAsia="黑体"/>
              </w:rPr>
            </w:pPr>
            <w:bookmarkStart w:id="9" w:name="_Hlk67039688"/>
            <w:r>
              <w:rPr>
                <w:rFonts w:ascii="Times New Roman" w:hAnsi="Times New Roman" w:eastAsia="黑体"/>
                <w:kern w:val="0"/>
                <w:sz w:val="20"/>
                <w:szCs w:val="20"/>
              </w:rPr>
              <w:t>复议后起诉</w:t>
            </w:r>
            <w:bookmarkEnd w:id="9"/>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906" w:hRule="atLeast"/>
          <w:jc w:val="center"/>
        </w:trPr>
        <w:tc>
          <w:tcPr>
            <w:tcW w:w="60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val="0"/>
              <w:overflowPunct/>
              <w:topLinePunct w:val="0"/>
              <w:autoSpaceDE/>
              <w:autoSpaceDN/>
              <w:bidi w:val="0"/>
              <w:adjustRightInd/>
              <w:snapToGrid/>
              <w:textAlignment w:val="auto"/>
              <w:rPr>
                <w:rFonts w:ascii="Times New Roman" w:hAnsi="Times New Roman" w:eastAsia="黑体"/>
                <w:sz w:val="24"/>
              </w:rPr>
            </w:pPr>
          </w:p>
        </w:tc>
        <w:tc>
          <w:tcPr>
            <w:tcW w:w="60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val="0"/>
              <w:overflowPunct/>
              <w:topLinePunct w:val="0"/>
              <w:autoSpaceDE/>
              <w:autoSpaceDN/>
              <w:bidi w:val="0"/>
              <w:adjustRightInd/>
              <w:snapToGrid/>
              <w:textAlignment w:val="auto"/>
              <w:rPr>
                <w:rFonts w:ascii="Times New Roman" w:hAnsi="Times New Roman" w:eastAsia="黑体"/>
                <w:sz w:val="24"/>
              </w:rPr>
            </w:pPr>
          </w:p>
        </w:tc>
        <w:tc>
          <w:tcPr>
            <w:tcW w:w="604"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val="0"/>
              <w:overflowPunct/>
              <w:topLinePunct w:val="0"/>
              <w:autoSpaceDE/>
              <w:autoSpaceDN/>
              <w:bidi w:val="0"/>
              <w:adjustRightInd/>
              <w:snapToGrid/>
              <w:textAlignment w:val="auto"/>
              <w:rPr>
                <w:rFonts w:ascii="Times New Roman" w:hAnsi="Times New Roman" w:eastAsia="黑体"/>
                <w:sz w:val="24"/>
              </w:rPr>
            </w:pPr>
          </w:p>
        </w:tc>
        <w:tc>
          <w:tcPr>
            <w:tcW w:w="604"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val="0"/>
              <w:overflowPunct/>
              <w:topLinePunct w:val="0"/>
              <w:autoSpaceDE/>
              <w:autoSpaceDN/>
              <w:bidi w:val="0"/>
              <w:adjustRightInd/>
              <w:snapToGrid/>
              <w:textAlignment w:val="auto"/>
              <w:rPr>
                <w:rFonts w:ascii="Times New Roman" w:hAnsi="Times New Roman" w:eastAsia="黑体"/>
                <w:sz w:val="24"/>
              </w:rPr>
            </w:pPr>
          </w:p>
        </w:tc>
        <w:tc>
          <w:tcPr>
            <w:tcW w:w="658"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kinsoku/>
              <w:wordWrap w:val="0"/>
              <w:overflowPunct/>
              <w:topLinePunct w:val="0"/>
              <w:autoSpaceDE/>
              <w:autoSpaceDN/>
              <w:bidi w:val="0"/>
              <w:adjustRightInd/>
              <w:snapToGrid/>
              <w:textAlignment w:val="auto"/>
              <w:rPr>
                <w:rFonts w:ascii="Times New Roman" w:hAnsi="Times New Roman" w:eastAsia="黑体"/>
                <w:sz w:val="24"/>
              </w:rPr>
            </w:pPr>
          </w:p>
        </w:tc>
        <w:tc>
          <w:tcPr>
            <w:tcW w:w="55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ind w:left="-105" w:leftChars="-50" w:right="-126" w:rightChars="-60"/>
              <w:jc w:val="center"/>
              <w:textAlignment w:val="auto"/>
              <w:rPr>
                <w:rFonts w:ascii="Times New Roman" w:hAnsi="Times New Roman" w:eastAsia="黑体"/>
              </w:rPr>
            </w:pPr>
            <w:r>
              <w:rPr>
                <w:rFonts w:ascii="Times New Roman" w:hAnsi="Times New Roman" w:eastAsia="黑体"/>
                <w:kern w:val="0"/>
                <w:sz w:val="20"/>
                <w:szCs w:val="20"/>
              </w:rPr>
              <w:t>结果维持</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ind w:left="-86" w:leftChars="-41" w:right="-88" w:rightChars="-42"/>
              <w:jc w:val="center"/>
              <w:textAlignment w:val="auto"/>
              <w:rPr>
                <w:rFonts w:ascii="Times New Roman" w:hAnsi="Times New Roman" w:eastAsia="黑体"/>
              </w:rPr>
            </w:pPr>
            <w:r>
              <w:rPr>
                <w:rFonts w:ascii="Times New Roman" w:hAnsi="Times New Roman" w:eastAsia="黑体"/>
                <w:kern w:val="0"/>
                <w:sz w:val="20"/>
                <w:szCs w:val="20"/>
              </w:rPr>
              <w:t>结果纠正</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ind w:left="-126" w:leftChars="-60" w:right="-136" w:rightChars="-65"/>
              <w:jc w:val="center"/>
              <w:textAlignment w:val="auto"/>
              <w:rPr>
                <w:rFonts w:ascii="Times New Roman" w:hAnsi="Times New Roman" w:eastAsia="黑体"/>
                <w:kern w:val="0"/>
                <w:sz w:val="20"/>
                <w:szCs w:val="20"/>
              </w:rPr>
            </w:pPr>
            <w:r>
              <w:rPr>
                <w:rFonts w:ascii="Times New Roman" w:hAnsi="Times New Roman" w:eastAsia="黑体"/>
                <w:kern w:val="0"/>
                <w:sz w:val="20"/>
                <w:szCs w:val="20"/>
              </w:rPr>
              <w:t>其他</w:t>
            </w:r>
          </w:p>
          <w:p>
            <w:pPr>
              <w:keepNext w:val="0"/>
              <w:keepLines w:val="0"/>
              <w:pageBreakBefore w:val="0"/>
              <w:widowControl/>
              <w:kinsoku/>
              <w:wordWrap w:val="0"/>
              <w:overflowPunct/>
              <w:topLinePunct w:val="0"/>
              <w:autoSpaceDE/>
              <w:autoSpaceDN/>
              <w:bidi w:val="0"/>
              <w:adjustRightInd/>
              <w:snapToGrid/>
              <w:ind w:left="-126" w:leftChars="-60" w:right="-136" w:rightChars="-65"/>
              <w:jc w:val="center"/>
              <w:textAlignment w:val="auto"/>
              <w:rPr>
                <w:rFonts w:ascii="Times New Roman" w:hAnsi="Times New Roman" w:eastAsia="黑体"/>
              </w:rPr>
            </w:pPr>
            <w:r>
              <w:rPr>
                <w:rFonts w:ascii="Times New Roman" w:hAnsi="Times New Roman" w:eastAsia="黑体"/>
                <w:kern w:val="0"/>
                <w:sz w:val="20"/>
                <w:szCs w:val="20"/>
              </w:rPr>
              <w:t>结果</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ind w:left="-164" w:leftChars="-78" w:right="-153" w:rightChars="-73"/>
              <w:jc w:val="center"/>
              <w:textAlignment w:val="auto"/>
              <w:rPr>
                <w:rFonts w:ascii="Times New Roman" w:hAnsi="Times New Roman" w:eastAsia="黑体"/>
                <w:kern w:val="0"/>
                <w:sz w:val="20"/>
                <w:szCs w:val="20"/>
              </w:rPr>
            </w:pPr>
            <w:r>
              <w:rPr>
                <w:rFonts w:ascii="Times New Roman" w:hAnsi="Times New Roman" w:eastAsia="黑体"/>
                <w:kern w:val="0"/>
                <w:sz w:val="20"/>
                <w:szCs w:val="20"/>
              </w:rPr>
              <w:t>尚未</w:t>
            </w:r>
          </w:p>
          <w:p>
            <w:pPr>
              <w:keepNext w:val="0"/>
              <w:keepLines w:val="0"/>
              <w:pageBreakBefore w:val="0"/>
              <w:widowControl/>
              <w:kinsoku/>
              <w:wordWrap w:val="0"/>
              <w:overflowPunct/>
              <w:topLinePunct w:val="0"/>
              <w:autoSpaceDE/>
              <w:autoSpaceDN/>
              <w:bidi w:val="0"/>
              <w:adjustRightInd/>
              <w:snapToGrid/>
              <w:ind w:left="-164" w:leftChars="-78" w:right="-153" w:rightChars="-73"/>
              <w:jc w:val="center"/>
              <w:textAlignment w:val="auto"/>
              <w:rPr>
                <w:rFonts w:ascii="Times New Roman" w:hAnsi="Times New Roman" w:eastAsia="黑体"/>
              </w:rPr>
            </w:pPr>
            <w:r>
              <w:rPr>
                <w:rFonts w:ascii="Times New Roman" w:hAnsi="Times New Roman" w:eastAsia="黑体"/>
                <w:kern w:val="0"/>
                <w:sz w:val="20"/>
                <w:szCs w:val="20"/>
              </w:rPr>
              <w:t>审结</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jc w:val="center"/>
              <w:textAlignment w:val="auto"/>
              <w:rPr>
                <w:rFonts w:ascii="Times New Roman" w:hAnsi="Times New Roman" w:eastAsia="黑体"/>
              </w:rPr>
            </w:pPr>
            <w:r>
              <w:rPr>
                <w:rFonts w:ascii="Times New Roman" w:hAnsi="Times New Roman" w:eastAsia="黑体"/>
                <w:kern w:val="0"/>
                <w:sz w:val="20"/>
                <w:szCs w:val="20"/>
              </w:rPr>
              <w:t>总计</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ind w:left="-99" w:leftChars="-47" w:right="-78" w:rightChars="-37"/>
              <w:jc w:val="center"/>
              <w:textAlignment w:val="auto"/>
              <w:rPr>
                <w:rFonts w:ascii="Times New Roman" w:hAnsi="Times New Roman" w:eastAsia="黑体"/>
              </w:rPr>
            </w:pPr>
            <w:r>
              <w:rPr>
                <w:rFonts w:ascii="Times New Roman" w:hAnsi="Times New Roman" w:eastAsia="黑体"/>
                <w:kern w:val="0"/>
                <w:sz w:val="20"/>
                <w:szCs w:val="20"/>
              </w:rPr>
              <w:t>结果维持</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ind w:left="-136" w:leftChars="-65" w:right="-124" w:rightChars="-59"/>
              <w:jc w:val="center"/>
              <w:textAlignment w:val="auto"/>
              <w:rPr>
                <w:rFonts w:ascii="Times New Roman" w:hAnsi="Times New Roman" w:eastAsia="黑体"/>
                <w:kern w:val="0"/>
                <w:sz w:val="20"/>
                <w:szCs w:val="20"/>
              </w:rPr>
            </w:pPr>
            <w:r>
              <w:rPr>
                <w:rFonts w:ascii="Times New Roman" w:hAnsi="Times New Roman" w:eastAsia="黑体"/>
                <w:kern w:val="0"/>
                <w:sz w:val="20"/>
                <w:szCs w:val="20"/>
              </w:rPr>
              <w:t>结果</w:t>
            </w:r>
          </w:p>
          <w:p>
            <w:pPr>
              <w:keepNext w:val="0"/>
              <w:keepLines w:val="0"/>
              <w:pageBreakBefore w:val="0"/>
              <w:widowControl/>
              <w:kinsoku/>
              <w:wordWrap w:val="0"/>
              <w:overflowPunct/>
              <w:topLinePunct w:val="0"/>
              <w:autoSpaceDE/>
              <w:autoSpaceDN/>
              <w:bidi w:val="0"/>
              <w:adjustRightInd/>
              <w:snapToGrid/>
              <w:ind w:left="-136" w:leftChars="-65" w:right="-124" w:rightChars="-59"/>
              <w:jc w:val="center"/>
              <w:textAlignment w:val="auto"/>
              <w:rPr>
                <w:rFonts w:ascii="Times New Roman" w:hAnsi="Times New Roman" w:eastAsia="黑体"/>
              </w:rPr>
            </w:pPr>
            <w:r>
              <w:rPr>
                <w:rFonts w:ascii="Times New Roman" w:hAnsi="Times New Roman" w:eastAsia="黑体"/>
                <w:kern w:val="0"/>
                <w:sz w:val="20"/>
                <w:szCs w:val="20"/>
              </w:rPr>
              <w:t>纠正</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ind w:left="-173" w:leftChars="-83" w:right="-134" w:rightChars="-64" w:hanging="1"/>
              <w:jc w:val="center"/>
              <w:textAlignment w:val="auto"/>
              <w:rPr>
                <w:rFonts w:ascii="Times New Roman" w:hAnsi="Times New Roman" w:eastAsia="黑体"/>
                <w:kern w:val="0"/>
                <w:sz w:val="20"/>
                <w:szCs w:val="20"/>
              </w:rPr>
            </w:pPr>
            <w:r>
              <w:rPr>
                <w:rFonts w:ascii="Times New Roman" w:hAnsi="Times New Roman" w:eastAsia="黑体"/>
                <w:kern w:val="0"/>
                <w:sz w:val="20"/>
                <w:szCs w:val="20"/>
              </w:rPr>
              <w:t>其他</w:t>
            </w:r>
          </w:p>
          <w:p>
            <w:pPr>
              <w:keepNext w:val="0"/>
              <w:keepLines w:val="0"/>
              <w:pageBreakBefore w:val="0"/>
              <w:widowControl/>
              <w:kinsoku/>
              <w:wordWrap w:val="0"/>
              <w:overflowPunct/>
              <w:topLinePunct w:val="0"/>
              <w:autoSpaceDE/>
              <w:autoSpaceDN/>
              <w:bidi w:val="0"/>
              <w:adjustRightInd/>
              <w:snapToGrid/>
              <w:ind w:left="-173" w:leftChars="-83" w:right="-134" w:rightChars="-64" w:hanging="1"/>
              <w:jc w:val="center"/>
              <w:textAlignment w:val="auto"/>
              <w:rPr>
                <w:rFonts w:ascii="Times New Roman" w:hAnsi="Times New Roman" w:eastAsia="黑体"/>
              </w:rPr>
            </w:pPr>
            <w:r>
              <w:rPr>
                <w:rFonts w:ascii="Times New Roman" w:hAnsi="Times New Roman" w:eastAsia="黑体"/>
                <w:kern w:val="0"/>
                <w:sz w:val="20"/>
                <w:szCs w:val="20"/>
              </w:rPr>
              <w:t>结果</w:t>
            </w:r>
          </w:p>
        </w:tc>
        <w:tc>
          <w:tcPr>
            <w:tcW w:w="606"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ind w:left="-67" w:leftChars="-33" w:right="-105" w:rightChars="-50" w:hanging="2" w:hangingChars="1"/>
              <w:jc w:val="center"/>
              <w:textAlignment w:val="auto"/>
              <w:rPr>
                <w:rFonts w:ascii="Times New Roman" w:hAnsi="Times New Roman" w:eastAsia="黑体"/>
              </w:rPr>
            </w:pPr>
            <w:r>
              <w:rPr>
                <w:rFonts w:ascii="Times New Roman" w:hAnsi="Times New Roman" w:eastAsia="黑体"/>
                <w:kern w:val="0"/>
                <w:sz w:val="20"/>
                <w:szCs w:val="20"/>
              </w:rPr>
              <w:t>尚未审结</w:t>
            </w:r>
          </w:p>
        </w:tc>
        <w:tc>
          <w:tcPr>
            <w:tcW w:w="606"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jc w:val="center"/>
              <w:textAlignment w:val="auto"/>
              <w:rPr>
                <w:rFonts w:ascii="Times New Roman" w:hAnsi="Times New Roman" w:eastAsia="黑体"/>
              </w:rPr>
            </w:pPr>
            <w:r>
              <w:rPr>
                <w:rFonts w:ascii="Times New Roman" w:hAnsi="Times New Roman" w:eastAsia="黑体"/>
                <w:kern w:val="0"/>
                <w:sz w:val="20"/>
                <w:szCs w:val="20"/>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604"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after="180"/>
              <w:jc w:val="center"/>
              <w:textAlignment w:val="auto"/>
              <w:rPr>
                <w:rFonts w:hint="eastAsia" w:ascii="Times New Roman" w:hAnsi="Times New Roman" w:eastAsiaTheme="minorEastAsia"/>
                <w:lang w:val="en-US" w:eastAsia="zh-CN"/>
              </w:rPr>
            </w:pPr>
            <w:r>
              <w:rPr>
                <w:rFonts w:hint="eastAsia" w:ascii="Times New Roman" w:hAnsi="Times New Roman"/>
                <w:lang w:val="en-US" w:eastAsia="zh-CN"/>
              </w:rPr>
              <w:t>0</w:t>
            </w:r>
          </w:p>
        </w:tc>
        <w:tc>
          <w:tcPr>
            <w:tcW w:w="60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after="180"/>
              <w:jc w:val="center"/>
              <w:textAlignment w:val="auto"/>
              <w:rPr>
                <w:rFonts w:hint="eastAsia" w:ascii="Times New Roman" w:hAnsi="Times New Roman" w:eastAsiaTheme="minorEastAsia"/>
                <w:lang w:val="en-US" w:eastAsia="zh-CN"/>
              </w:rPr>
            </w:pPr>
            <w:r>
              <w:rPr>
                <w:rFonts w:hint="eastAsia" w:ascii="Times New Roman" w:hAnsi="Times New Roman"/>
                <w:lang w:val="en-US" w:eastAsia="zh-CN"/>
              </w:rPr>
              <w:t>0</w:t>
            </w:r>
          </w:p>
        </w:tc>
        <w:tc>
          <w:tcPr>
            <w:tcW w:w="60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after="180"/>
              <w:jc w:val="center"/>
              <w:textAlignment w:val="auto"/>
              <w:rPr>
                <w:rFonts w:hint="eastAsia" w:ascii="Times New Roman" w:hAnsi="Times New Roman" w:eastAsiaTheme="minorEastAsia"/>
                <w:lang w:val="en-US" w:eastAsia="zh-CN"/>
              </w:rPr>
            </w:pPr>
            <w:r>
              <w:rPr>
                <w:rFonts w:hint="eastAsia" w:ascii="Times New Roman" w:hAnsi="Times New Roman"/>
                <w:lang w:val="en-US" w:eastAsia="zh-CN"/>
              </w:rPr>
              <w:t>0</w:t>
            </w:r>
          </w:p>
        </w:tc>
        <w:tc>
          <w:tcPr>
            <w:tcW w:w="60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after="180"/>
              <w:jc w:val="center"/>
              <w:textAlignment w:val="auto"/>
              <w:rPr>
                <w:rFonts w:hint="eastAsia" w:ascii="Times New Roman" w:hAnsi="Times New Roman" w:eastAsiaTheme="minorEastAsia"/>
                <w:lang w:val="en-US" w:eastAsia="zh-CN"/>
              </w:rPr>
            </w:pPr>
            <w:r>
              <w:rPr>
                <w:rFonts w:hint="eastAsia" w:ascii="Times New Roman" w:hAnsi="Times New Roman"/>
                <w:lang w:val="en-US" w:eastAsia="zh-CN"/>
              </w:rPr>
              <w:t>0</w:t>
            </w:r>
          </w:p>
        </w:tc>
        <w:tc>
          <w:tcPr>
            <w:tcW w:w="658"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after="180"/>
              <w:jc w:val="center"/>
              <w:textAlignment w:val="auto"/>
              <w:rPr>
                <w:rFonts w:hint="eastAsia" w:ascii="Times New Roman" w:hAnsi="Times New Roman" w:eastAsiaTheme="minorEastAsia"/>
                <w:lang w:val="en-US" w:eastAsia="zh-CN"/>
              </w:rPr>
            </w:pPr>
            <w:r>
              <w:rPr>
                <w:rFonts w:hint="eastAsia" w:ascii="Times New Roman" w:hAnsi="Times New Roman"/>
                <w:lang w:val="en-US" w:eastAsia="zh-CN"/>
              </w:rPr>
              <w:t>0</w:t>
            </w:r>
          </w:p>
        </w:tc>
        <w:tc>
          <w:tcPr>
            <w:tcW w:w="55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after="180"/>
              <w:jc w:val="center"/>
              <w:textAlignment w:val="auto"/>
              <w:rPr>
                <w:rFonts w:hint="eastAsia" w:ascii="Times New Roman" w:hAnsi="Times New Roman" w:eastAsiaTheme="minorEastAsia"/>
                <w:lang w:val="en-US" w:eastAsia="zh-CN"/>
              </w:rPr>
            </w:pPr>
            <w:r>
              <w:rPr>
                <w:rFonts w:hint="eastAsia" w:ascii="Times New Roman" w:hAnsi="Times New Roman"/>
                <w:lang w:val="en-US" w:eastAsia="zh-CN"/>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after="180"/>
              <w:jc w:val="center"/>
              <w:textAlignment w:val="auto"/>
              <w:rPr>
                <w:rFonts w:hint="eastAsia" w:ascii="Times New Roman" w:hAnsi="Times New Roman" w:eastAsiaTheme="minorEastAsia"/>
                <w:lang w:val="en-US" w:eastAsia="zh-CN"/>
              </w:rPr>
            </w:pPr>
            <w:r>
              <w:rPr>
                <w:rFonts w:hint="eastAsia" w:ascii="Times New Roman" w:hAnsi="Times New Roman"/>
                <w:lang w:val="en-US" w:eastAsia="zh-CN"/>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after="180"/>
              <w:jc w:val="center"/>
              <w:textAlignment w:val="auto"/>
              <w:rPr>
                <w:rFonts w:hint="eastAsia" w:ascii="Times New Roman" w:hAnsi="Times New Roman" w:eastAsiaTheme="minorEastAsia"/>
                <w:lang w:val="en-US" w:eastAsia="zh-CN"/>
              </w:rPr>
            </w:pPr>
            <w:r>
              <w:rPr>
                <w:rFonts w:hint="eastAsia" w:ascii="Times New Roman" w:hAnsi="Times New Roman"/>
                <w:lang w:val="en-US" w:eastAsia="zh-CN"/>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after="180"/>
              <w:jc w:val="center"/>
              <w:textAlignment w:val="auto"/>
              <w:rPr>
                <w:rFonts w:hint="eastAsia" w:ascii="Times New Roman" w:hAnsi="Times New Roman" w:eastAsiaTheme="minorEastAsia"/>
                <w:lang w:val="en-US" w:eastAsia="zh-CN"/>
              </w:rPr>
            </w:pPr>
            <w:r>
              <w:rPr>
                <w:rFonts w:hint="eastAsia" w:ascii="Times New Roman" w:hAnsi="Times New Roman"/>
                <w:lang w:val="en-US" w:eastAsia="zh-CN"/>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after="180"/>
              <w:jc w:val="center"/>
              <w:textAlignment w:val="auto"/>
              <w:rPr>
                <w:rFonts w:hint="eastAsia" w:ascii="Times New Roman" w:hAnsi="Times New Roman" w:eastAsiaTheme="minorEastAsia"/>
                <w:lang w:val="en-US" w:eastAsia="zh-CN"/>
              </w:rPr>
            </w:pPr>
            <w:r>
              <w:rPr>
                <w:rFonts w:hint="eastAsia" w:ascii="Times New Roman" w:hAnsi="Times New Roman"/>
                <w:lang w:val="en-US" w:eastAsia="zh-CN"/>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after="180"/>
              <w:jc w:val="center"/>
              <w:textAlignment w:val="auto"/>
              <w:rPr>
                <w:rFonts w:hint="eastAsia" w:ascii="Times New Roman" w:hAnsi="Times New Roman" w:eastAsiaTheme="minorEastAsia"/>
                <w:lang w:val="en-US" w:eastAsia="zh-CN"/>
              </w:rPr>
            </w:pPr>
            <w:r>
              <w:rPr>
                <w:rFonts w:hint="eastAsia" w:ascii="Times New Roman" w:hAnsi="Times New Roman"/>
                <w:lang w:val="en-US" w:eastAsia="zh-CN"/>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after="180"/>
              <w:jc w:val="center"/>
              <w:textAlignment w:val="auto"/>
              <w:rPr>
                <w:rFonts w:hint="eastAsia" w:ascii="Times New Roman" w:hAnsi="Times New Roman" w:eastAsiaTheme="minorEastAsia"/>
                <w:lang w:val="en-US" w:eastAsia="zh-CN"/>
              </w:rPr>
            </w:pPr>
            <w:r>
              <w:rPr>
                <w:rFonts w:hint="eastAsia" w:ascii="Times New Roman" w:hAnsi="Times New Roman"/>
                <w:lang w:val="en-US" w:eastAsia="zh-CN"/>
              </w:rPr>
              <w:t>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after="180"/>
              <w:jc w:val="center"/>
              <w:textAlignment w:val="auto"/>
              <w:rPr>
                <w:rFonts w:hint="eastAsia" w:ascii="Times New Roman" w:hAnsi="Times New Roman" w:eastAsiaTheme="minorEastAsia"/>
                <w:lang w:val="en-US" w:eastAsia="zh-CN"/>
              </w:rPr>
            </w:pPr>
            <w:r>
              <w:rPr>
                <w:rFonts w:hint="eastAsia" w:ascii="Times New Roman" w:hAnsi="Times New Roman"/>
                <w:lang w:val="en-US" w:eastAsia="zh-CN"/>
              </w:rPr>
              <w:t>0</w:t>
            </w:r>
          </w:p>
        </w:tc>
        <w:tc>
          <w:tcPr>
            <w:tcW w:w="60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after="180"/>
              <w:jc w:val="center"/>
              <w:textAlignment w:val="auto"/>
              <w:rPr>
                <w:rFonts w:hint="eastAsia" w:ascii="Times New Roman" w:hAnsi="Times New Roman" w:eastAsiaTheme="minorEastAsia"/>
                <w:lang w:val="en-US" w:eastAsia="zh-CN"/>
              </w:rPr>
            </w:pPr>
            <w:r>
              <w:rPr>
                <w:rFonts w:hint="eastAsia" w:ascii="Times New Roman" w:hAnsi="Times New Roman"/>
                <w:lang w:val="en-US" w:eastAsia="zh-CN"/>
              </w:rPr>
              <w:t>0</w:t>
            </w:r>
          </w:p>
        </w:tc>
        <w:tc>
          <w:tcPr>
            <w:tcW w:w="60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pageBreakBefore w:val="0"/>
              <w:widowControl/>
              <w:kinsoku/>
              <w:wordWrap w:val="0"/>
              <w:overflowPunct/>
              <w:topLinePunct w:val="0"/>
              <w:autoSpaceDE/>
              <w:autoSpaceDN/>
              <w:bidi w:val="0"/>
              <w:adjustRightInd/>
              <w:snapToGrid/>
              <w:spacing w:after="180"/>
              <w:jc w:val="center"/>
              <w:textAlignment w:val="auto"/>
              <w:rPr>
                <w:rFonts w:hint="eastAsia" w:ascii="Times New Roman" w:hAnsi="Times New Roman" w:eastAsiaTheme="minorEastAsia"/>
                <w:lang w:val="en-US" w:eastAsia="zh-CN"/>
              </w:rPr>
            </w:pPr>
            <w:r>
              <w:rPr>
                <w:rFonts w:hint="eastAsia" w:ascii="Times New Roman" w:hAnsi="Times New Roman"/>
                <w:lang w:val="en-US" w:eastAsia="zh-CN"/>
              </w:rPr>
              <w:t>0</w:t>
            </w:r>
          </w:p>
        </w:tc>
      </w:tr>
    </w:tbl>
    <w:p>
      <w:pPr>
        <w:pStyle w:val="6"/>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Times New Roman" w:hAnsi="Times New Roman" w:eastAsia="黑体" w:cs="黑体"/>
          <w:b w:val="0"/>
          <w:bCs/>
          <w:i w:val="0"/>
          <w:caps w:val="0"/>
          <w:color w:val="333333"/>
          <w:spacing w:val="0"/>
          <w:kern w:val="0"/>
          <w:sz w:val="32"/>
          <w:szCs w:val="32"/>
          <w:shd w:val="clear" w:fill="FFFFFF"/>
          <w:lang w:val="en-US" w:eastAsia="zh-CN" w:bidi="ar"/>
        </w:rPr>
      </w:pPr>
      <w:r>
        <w:rPr>
          <w:rFonts w:hint="eastAsia" w:ascii="Times New Roman" w:hAnsi="Times New Roman" w:eastAsia="黑体" w:cs="黑体"/>
          <w:b w:val="0"/>
          <w:bCs/>
          <w:i w:val="0"/>
          <w:caps w:val="0"/>
          <w:color w:val="333333"/>
          <w:spacing w:val="0"/>
          <w:kern w:val="0"/>
          <w:sz w:val="32"/>
          <w:szCs w:val="32"/>
          <w:shd w:val="clear" w:fill="FFFFFF"/>
          <w:lang w:val="en-US" w:eastAsia="zh-CN" w:bidi="ar"/>
        </w:rPr>
        <w:t>存在的主要问题及改进情况</w:t>
      </w:r>
    </w:p>
    <w:p>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leftChars="0" w:right="0" w:rightChars="0" w:firstLine="643" w:firstLineChars="200"/>
        <w:jc w:val="both"/>
        <w:textAlignment w:val="auto"/>
        <w:outlineLvl w:val="9"/>
        <w:rPr>
          <w:rFonts w:hint="eastAsia" w:ascii="仿宋_GB2312" w:hAnsi="仿宋_GB2312" w:eastAsia="仿宋_GB2312" w:cs="仿宋_GB2312"/>
          <w:b/>
          <w:bCs w:val="0"/>
          <w:i w:val="0"/>
          <w:caps w:val="0"/>
          <w:color w:val="333333"/>
          <w:spacing w:val="0"/>
          <w:kern w:val="0"/>
          <w:sz w:val="32"/>
          <w:szCs w:val="32"/>
          <w:shd w:val="clear" w:fill="FFFFFF"/>
          <w:lang w:val="en-US" w:eastAsia="zh-CN" w:bidi="ar"/>
        </w:rPr>
      </w:pPr>
      <w:r>
        <w:rPr>
          <w:rFonts w:hint="eastAsia" w:ascii="仿宋_GB2312" w:hAnsi="仿宋_GB2312" w:eastAsia="仿宋_GB2312" w:cs="仿宋_GB2312"/>
          <w:b/>
          <w:bCs w:val="0"/>
          <w:i w:val="0"/>
          <w:caps w:val="0"/>
          <w:color w:val="333333"/>
          <w:spacing w:val="0"/>
          <w:kern w:val="0"/>
          <w:sz w:val="32"/>
          <w:szCs w:val="32"/>
          <w:shd w:val="clear" w:fill="FFFFFF"/>
          <w:lang w:val="en-US" w:eastAsia="zh-CN" w:bidi="ar"/>
        </w:rPr>
        <w:t>（一）主要问题</w:t>
      </w:r>
    </w:p>
    <w:p>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仿宋_GB2312" w:hAnsi="仿宋_GB2312" w:eastAsia="仿宋_GB2312" w:cs="仿宋_GB2312"/>
          <w:b w:val="0"/>
          <w:bCs/>
          <w:i w:val="0"/>
          <w:caps w:val="0"/>
          <w:color w:val="333333"/>
          <w:spacing w:val="0"/>
          <w:kern w:val="0"/>
          <w:sz w:val="32"/>
          <w:szCs w:val="32"/>
          <w:shd w:val="clear" w:fill="FFFFFF"/>
          <w:lang w:val="en-US" w:eastAsia="zh-CN" w:bidi="ar"/>
        </w:rPr>
      </w:pPr>
      <w:r>
        <w:rPr>
          <w:rFonts w:hint="eastAsia" w:ascii="仿宋_GB2312" w:hAnsi="仿宋_GB2312" w:eastAsia="仿宋_GB2312" w:cs="仿宋_GB2312"/>
          <w:b w:val="0"/>
          <w:bCs/>
          <w:i w:val="0"/>
          <w:caps w:val="0"/>
          <w:color w:val="333333"/>
          <w:spacing w:val="0"/>
          <w:kern w:val="0"/>
          <w:sz w:val="32"/>
          <w:szCs w:val="32"/>
          <w:shd w:val="clear" w:fill="FFFFFF"/>
          <w:lang w:val="en-US" w:eastAsia="zh-CN" w:bidi="ar"/>
        </w:rPr>
        <w:t>文字校对不严格、审批不严，单位政府门户网站往年的公开信息中偶尔会出现错别字和漏字。</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3" w:firstLineChars="200"/>
        <w:jc w:val="left"/>
        <w:textAlignment w:val="auto"/>
        <w:outlineLvl w:val="9"/>
        <w:rPr>
          <w:rFonts w:hint="eastAsia" w:ascii="仿宋_GB2312" w:hAnsi="仿宋_GB2312" w:eastAsia="仿宋_GB2312" w:cs="仿宋_GB2312"/>
          <w:b/>
          <w:bCs/>
          <w:i w:val="0"/>
          <w:caps w:val="0"/>
          <w:color w:val="333333"/>
          <w:spacing w:val="0"/>
          <w:sz w:val="32"/>
          <w:szCs w:val="32"/>
          <w:u w:val="none"/>
        </w:rPr>
      </w:pPr>
      <w:r>
        <w:rPr>
          <w:rFonts w:hint="eastAsia" w:ascii="仿宋_GB2312" w:hAnsi="仿宋_GB2312" w:eastAsia="仿宋_GB2312" w:cs="仿宋_GB2312"/>
          <w:b/>
          <w:bCs/>
          <w:i w:val="0"/>
          <w:caps w:val="0"/>
          <w:color w:val="333333"/>
          <w:spacing w:val="0"/>
          <w:sz w:val="32"/>
          <w:szCs w:val="32"/>
          <w:u w:val="none"/>
        </w:rPr>
        <w:t>（二）改进措施</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仿宋_GB2312" w:hAnsi="仿宋_GB2312" w:eastAsia="仿宋_GB2312" w:cs="仿宋_GB2312"/>
          <w:i w:val="0"/>
          <w:caps w:val="0"/>
          <w:color w:val="333333"/>
          <w:spacing w:val="0"/>
          <w:sz w:val="32"/>
          <w:szCs w:val="32"/>
          <w:u w:val="none"/>
          <w:lang w:eastAsia="zh-CN"/>
        </w:rPr>
      </w:pPr>
      <w:r>
        <w:rPr>
          <w:rFonts w:hint="eastAsia" w:ascii="仿宋_GB2312" w:hAnsi="仿宋_GB2312" w:eastAsia="仿宋_GB2312" w:cs="仿宋_GB2312"/>
          <w:i w:val="0"/>
          <w:caps w:val="0"/>
          <w:color w:val="333333"/>
          <w:spacing w:val="0"/>
          <w:sz w:val="32"/>
          <w:szCs w:val="32"/>
          <w:u w:val="none"/>
          <w:lang w:eastAsia="zh-CN"/>
        </w:rPr>
        <w:t>思想上高度重视，</w:t>
      </w:r>
      <w:r>
        <w:rPr>
          <w:rFonts w:hint="eastAsia" w:ascii="仿宋_GB2312" w:hAnsi="仿宋_GB2312" w:eastAsia="仿宋_GB2312" w:cs="仿宋_GB2312"/>
          <w:i w:val="0"/>
          <w:caps w:val="0"/>
          <w:color w:val="333333"/>
          <w:spacing w:val="0"/>
          <w:sz w:val="32"/>
          <w:szCs w:val="32"/>
          <w:u w:val="none"/>
          <w:lang w:val="en-US" w:eastAsia="zh-CN"/>
        </w:rPr>
        <w:t>对区政府电子政务办反馈的错敏词等问题，及时予以撤回、修改、删减，确保公开信息准确无误。增强责任意识，压实信息发布三级审核责任，严格把关拟文、定密、审核、发布等程序，重点排查政务公开网站的历史数据，建立长效的网站信息内容检查纠错机制。</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Times New Roman" w:hAnsi="Times New Roman" w:eastAsia="黑体" w:cs="黑体"/>
          <w:b w:val="0"/>
          <w:bCs/>
          <w:i w:val="0"/>
          <w:caps w:val="0"/>
          <w:color w:val="333333"/>
          <w:spacing w:val="0"/>
          <w:kern w:val="0"/>
          <w:sz w:val="32"/>
          <w:szCs w:val="32"/>
          <w:shd w:val="clear" w:fill="FFFFFF"/>
          <w:lang w:val="en-US" w:eastAsia="zh-CN" w:bidi="ar"/>
        </w:rPr>
      </w:pPr>
      <w:r>
        <w:rPr>
          <w:rFonts w:hint="eastAsia" w:ascii="Times New Roman" w:hAnsi="Times New Roman" w:eastAsia="黑体" w:cs="黑体"/>
          <w:b w:val="0"/>
          <w:bCs/>
          <w:i w:val="0"/>
          <w:caps w:val="0"/>
          <w:color w:val="333333"/>
          <w:spacing w:val="0"/>
          <w:kern w:val="0"/>
          <w:sz w:val="32"/>
          <w:szCs w:val="32"/>
          <w:shd w:val="clear" w:fill="FFFFFF"/>
          <w:lang w:val="en-US" w:eastAsia="zh-CN" w:bidi="ar"/>
        </w:rPr>
        <w:t>六、其他需要报告的事项</w:t>
      </w:r>
    </w:p>
    <w:p>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left="0" w:leftChars="0" w:right="0" w:rightChars="0" w:firstLine="643" w:firstLineChars="200"/>
        <w:jc w:val="both"/>
        <w:textAlignment w:val="auto"/>
        <w:outlineLvl w:val="9"/>
        <w:rPr>
          <w:rFonts w:hint="eastAsia" w:ascii="Times New Roman" w:hAnsi="Times New Roman" w:eastAsia="仿宋_GB2312" w:cs="仿宋_GB2312"/>
          <w:b/>
          <w:bCs/>
          <w:sz w:val="32"/>
          <w:szCs w:val="32"/>
          <w:lang w:val="en-US" w:eastAsia="zh-CN"/>
        </w:rPr>
      </w:pPr>
      <w:r>
        <w:rPr>
          <w:rFonts w:hint="eastAsia" w:ascii="Times New Roman" w:hAnsi="Times New Roman" w:eastAsia="仿宋_GB2312" w:cs="仿宋_GB2312"/>
          <w:b/>
          <w:bCs/>
          <w:sz w:val="32"/>
          <w:szCs w:val="32"/>
          <w:lang w:val="en-US" w:eastAsia="zh-CN"/>
        </w:rPr>
        <w:t>（一）依据《政府信息公开信息处理费管理办法》收取信息处理费的情况</w:t>
      </w:r>
    </w:p>
    <w:p>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Times New Roman" w:hAnsi="Times New Roman" w:eastAsia="仿宋_GB2312" w:cs="仿宋_GB2312"/>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sz w:val="32"/>
          <w:szCs w:val="32"/>
          <w:shd w:val="clear" w:color="auto" w:fill="FFFFFF"/>
        </w:rPr>
        <w:t>202</w:t>
      </w:r>
      <w:r>
        <w:rPr>
          <w:rFonts w:hint="eastAsia" w:ascii="Times New Roman" w:hAnsi="Times New Roman" w:eastAsia="仿宋_GB2312" w:cs="Times New Roman"/>
          <w:sz w:val="32"/>
          <w:szCs w:val="32"/>
          <w:shd w:val="clear" w:color="auto" w:fill="FFFFFF"/>
          <w:lang w:val="en-US" w:eastAsia="zh-CN"/>
        </w:rPr>
        <w:t>3</w:t>
      </w:r>
      <w:r>
        <w:rPr>
          <w:rFonts w:hint="eastAsia" w:ascii="仿宋_GB2312" w:hAnsi="仿宋_GB2312" w:eastAsia="仿宋_GB2312" w:cs="仿宋_GB2312"/>
          <w:sz w:val="32"/>
          <w:szCs w:val="32"/>
          <w:shd w:val="clear" w:color="auto" w:fill="FFFFFF"/>
        </w:rPr>
        <w:t>年</w:t>
      </w:r>
      <w:r>
        <w:rPr>
          <w:rFonts w:hint="eastAsia" w:ascii="仿宋_GB2312" w:hAnsi="仿宋_GB2312" w:eastAsia="仿宋_GB2312" w:cs="仿宋_GB2312"/>
          <w:sz w:val="32"/>
          <w:szCs w:val="32"/>
          <w:shd w:val="clear" w:color="auto" w:fill="FFFFFF"/>
          <w:lang w:val="en-US" w:eastAsia="zh-CN"/>
        </w:rPr>
        <w:t>度</w:t>
      </w:r>
      <w:r>
        <w:rPr>
          <w:rFonts w:hint="eastAsia" w:ascii="仿宋_GB2312" w:hAnsi="仿宋_GB2312" w:eastAsia="仿宋_GB2312" w:cs="仿宋_GB2312"/>
          <w:sz w:val="32"/>
          <w:szCs w:val="32"/>
          <w:shd w:val="clear" w:color="auto" w:fill="FFFFFF"/>
        </w:rPr>
        <w:t>我局依申请公开政府信息数量为零，未收取任何费用。</w:t>
      </w:r>
    </w:p>
    <w:p>
      <w:pPr>
        <w:pStyle w:val="6"/>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rightChars="0" w:firstLine="643" w:firstLineChars="200"/>
        <w:jc w:val="both"/>
        <w:textAlignment w:val="auto"/>
        <w:outlineLvl w:val="9"/>
        <w:rPr>
          <w:rFonts w:hint="eastAsia" w:ascii="Times New Roman" w:hAnsi="Times New Roman" w:eastAsia="仿宋_GB2312" w:cs="仿宋_GB2312"/>
          <w:b/>
          <w:bCs/>
          <w:sz w:val="32"/>
          <w:szCs w:val="32"/>
          <w:lang w:val="en-US" w:eastAsia="zh-CN"/>
        </w:rPr>
      </w:pPr>
      <w:r>
        <w:rPr>
          <w:rFonts w:hint="eastAsia" w:ascii="Times New Roman" w:hAnsi="Times New Roman" w:eastAsia="仿宋_GB2312" w:cs="仿宋_GB2312"/>
          <w:b/>
          <w:bCs/>
          <w:sz w:val="32"/>
          <w:szCs w:val="32"/>
          <w:lang w:val="en-US" w:eastAsia="zh-CN"/>
        </w:rPr>
        <w:t>（二）本年度人大代表建议和政协提案办理情况</w:t>
      </w:r>
    </w:p>
    <w:p>
      <w:pPr>
        <w:pStyle w:val="6"/>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560" w:lineRule="exact"/>
        <w:ind w:left="0" w:leftChars="0" w:right="0" w:rightChars="0" w:firstLine="640" w:firstLineChars="200"/>
        <w:jc w:val="both"/>
        <w:textAlignment w:val="auto"/>
        <w:outlineLvl w:val="9"/>
        <w:rPr>
          <w:rFonts w:hint="eastAsia" w:ascii="Times New Roman" w:hAnsi="Times New Roman" w:eastAsia="仿宋_GB2312" w:cs="仿宋_GB2312"/>
          <w:color w:val="000000" w:themeColor="text1"/>
          <w:sz w:val="32"/>
          <w:szCs w:val="32"/>
          <w:lang w:val="en-US" w:eastAsia="zh-CN"/>
          <w14:textFill>
            <w14:solidFill>
              <w14:schemeClr w14:val="tx1"/>
            </w14:solidFill>
          </w14:textFill>
        </w:rPr>
      </w:pPr>
      <w:r>
        <w:rPr>
          <w:rFonts w:hint="default" w:ascii="Times New Roman" w:hAnsi="Times New Roman" w:eastAsia="仿宋_GB2312" w:cs="Times New Roman"/>
          <w:sz w:val="32"/>
          <w:szCs w:val="32"/>
          <w:shd w:val="clear" w:color="auto" w:fill="FFFFFF"/>
        </w:rPr>
        <w:t>202</w:t>
      </w:r>
      <w:r>
        <w:rPr>
          <w:rFonts w:hint="eastAsia" w:ascii="Times New Roman" w:hAnsi="Times New Roman" w:eastAsia="仿宋_GB2312" w:cs="Times New Roman"/>
          <w:sz w:val="32"/>
          <w:szCs w:val="32"/>
          <w:shd w:val="clear" w:color="auto" w:fill="FFFFFF"/>
          <w:lang w:val="en-US" w:eastAsia="zh-CN"/>
        </w:rPr>
        <w:t>3</w:t>
      </w:r>
      <w:r>
        <w:rPr>
          <w:rFonts w:hint="eastAsia" w:ascii="仿宋_GB2312" w:hAnsi="仿宋_GB2312" w:eastAsia="仿宋_GB2312" w:cs="仿宋_GB2312"/>
          <w:sz w:val="32"/>
          <w:szCs w:val="32"/>
          <w:shd w:val="clear" w:color="auto" w:fill="FFFFFF"/>
        </w:rPr>
        <w:t>年度我局收到区人大代表建议</w:t>
      </w:r>
      <w:r>
        <w:rPr>
          <w:rFonts w:hint="eastAsia" w:ascii="Times New Roman" w:hAnsi="Times New Roman" w:eastAsia="仿宋_GB2312" w:cs="Times New Roman"/>
          <w:sz w:val="32"/>
          <w:szCs w:val="32"/>
          <w:highlight w:val="none"/>
          <w:shd w:val="clear" w:color="auto" w:fill="FFFFFF"/>
          <w:lang w:val="en-US" w:eastAsia="zh-CN"/>
        </w:rPr>
        <w:t>2</w:t>
      </w:r>
      <w:r>
        <w:rPr>
          <w:rFonts w:hint="eastAsia" w:ascii="仿宋_GB2312" w:hAnsi="仿宋_GB2312" w:eastAsia="仿宋_GB2312" w:cs="仿宋_GB2312"/>
          <w:sz w:val="32"/>
          <w:szCs w:val="32"/>
          <w:shd w:val="clear" w:color="auto" w:fill="FFFFFF"/>
        </w:rPr>
        <w:t>件和区政协提案</w:t>
      </w:r>
      <w:r>
        <w:rPr>
          <w:rFonts w:hint="eastAsia" w:ascii="Times New Roman" w:hAnsi="Times New Roman" w:eastAsia="仿宋_GB2312" w:cs="Times New Roman"/>
          <w:sz w:val="32"/>
          <w:szCs w:val="32"/>
          <w:highlight w:val="none"/>
          <w:shd w:val="clear" w:color="auto" w:fill="FFFFFF"/>
          <w:lang w:val="en-US" w:eastAsia="zh-CN"/>
        </w:rPr>
        <w:t>14</w:t>
      </w:r>
      <w:r>
        <w:rPr>
          <w:rFonts w:hint="eastAsia" w:ascii="仿宋_GB2312" w:hAnsi="仿宋_GB2312" w:eastAsia="仿宋_GB2312" w:cs="仿宋_GB2312"/>
          <w:sz w:val="32"/>
          <w:szCs w:val="32"/>
          <w:shd w:val="clear" w:color="auto" w:fill="FFFFFF"/>
        </w:rPr>
        <w:t>件，均已</w:t>
      </w:r>
      <w:r>
        <w:rPr>
          <w:rFonts w:hint="eastAsia" w:ascii="仿宋_GB2312" w:hAnsi="仿宋_GB2312" w:eastAsia="仿宋_GB2312" w:cs="仿宋_GB2312"/>
          <w:sz w:val="32"/>
          <w:szCs w:val="32"/>
          <w:shd w:val="clear" w:color="auto" w:fill="FFFFFF"/>
          <w:lang w:val="en-US" w:eastAsia="zh-CN"/>
        </w:rPr>
        <w:t>办理完毕</w:t>
      </w:r>
      <w:r>
        <w:rPr>
          <w:rFonts w:hint="eastAsia" w:ascii="仿宋_GB2312" w:hAnsi="仿宋_GB2312" w:eastAsia="仿宋_GB2312" w:cs="仿宋_GB2312"/>
          <w:sz w:val="32"/>
          <w:szCs w:val="32"/>
          <w:shd w:val="clear" w:color="auto" w:fill="FFFFFF"/>
        </w:rPr>
        <w:t>。其中，主办和分办的人大代表建议、政协委员提案共</w:t>
      </w:r>
      <w:r>
        <w:rPr>
          <w:rFonts w:hint="default" w:ascii="Times New Roman" w:hAnsi="Times New Roman" w:eastAsia="仿宋_GB2312" w:cs="Times New Roman"/>
          <w:sz w:val="32"/>
          <w:szCs w:val="32"/>
          <w:shd w:val="clear" w:color="auto" w:fill="FFFFFF"/>
          <w:lang w:val="en-US" w:eastAsia="zh-CN"/>
        </w:rPr>
        <w:t>9</w:t>
      </w:r>
      <w:r>
        <w:rPr>
          <w:rFonts w:hint="eastAsia" w:ascii="仿宋_GB2312" w:hAnsi="仿宋_GB2312" w:eastAsia="仿宋_GB2312" w:cs="仿宋_GB2312"/>
          <w:sz w:val="32"/>
          <w:szCs w:val="32"/>
          <w:shd w:val="clear" w:color="auto" w:fill="FFFFFF"/>
        </w:rPr>
        <w:t>件，均已在门户网站公开。建议提案内容涉及强化中心城区金融发展、推进普惠金融建设、加强金融信贷支持等多个方面。</w:t>
      </w:r>
    </w:p>
    <w:p>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left="0" w:leftChars="0" w:right="0" w:rightChars="0" w:firstLine="643" w:firstLineChars="200"/>
        <w:jc w:val="both"/>
        <w:textAlignment w:val="auto"/>
        <w:outlineLvl w:val="9"/>
        <w:rPr>
          <w:rFonts w:hint="eastAsia" w:ascii="Times New Roman" w:hAnsi="Times New Roman" w:eastAsia="仿宋_GB2312" w:cs="仿宋_GB2312"/>
          <w:b/>
          <w:bCs/>
          <w:sz w:val="32"/>
          <w:szCs w:val="32"/>
          <w:lang w:val="en-US" w:eastAsia="zh-CN"/>
        </w:rPr>
      </w:pPr>
      <w:r>
        <w:rPr>
          <w:rFonts w:hint="eastAsia" w:ascii="Times New Roman" w:hAnsi="Times New Roman" w:eastAsia="仿宋_GB2312" w:cs="仿宋_GB2312"/>
          <w:b/>
          <w:bCs/>
          <w:sz w:val="32"/>
          <w:szCs w:val="32"/>
          <w:lang w:val="en-US" w:eastAsia="zh-CN"/>
        </w:rPr>
        <w:t>（三）本单位在政务公开制度、内容、形式和平台建设方面的创新实践情况</w:t>
      </w:r>
    </w:p>
    <w:p>
      <w:pPr>
        <w:pStyle w:val="2"/>
        <w:keepNext w:val="0"/>
        <w:keepLines w:val="0"/>
        <w:pageBreakBefore w:val="0"/>
        <w:widowControl w:val="0"/>
        <w:numPr>
          <w:ilvl w:val="0"/>
          <w:numId w:val="0"/>
        </w:numPr>
        <w:kinsoku/>
        <w:wordWrap/>
        <w:overflowPunct/>
        <w:topLinePunct w:val="0"/>
        <w:autoSpaceDE/>
        <w:autoSpaceDN/>
        <w:bidi w:val="0"/>
        <w:adjustRightInd/>
        <w:snapToGrid/>
        <w:spacing w:after="0" w:afterLines="0"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在全区举办“庆七一、宣防非、护钱袋”防范非法集资书画比赛暨作品展活动，弘扬中华优秀传统文化，充分展示我区防非处非新成就、新气象及全区广大党员干部群众的才艺和的精神风貌，激发全民参与防非创作热情，取得良好社会效果。积极扩大宣传渠道，先后在山东新闻联播播出政银担、金融赋能产业园区、应急转贷等业务内容，以群众喜闻乐见的形式宣传金融政策知识，提高公众知晓度。</w:t>
      </w:r>
    </w:p>
    <w:p>
      <w:pPr>
        <w:keepNext w:val="0"/>
        <w:keepLines w:val="0"/>
        <w:pageBreakBefore w:val="0"/>
        <w:widowControl w:val="0"/>
        <w:kinsoku/>
        <w:wordWrap w:val="0"/>
        <w:overflowPunct/>
        <w:topLinePunct w:val="0"/>
        <w:autoSpaceDE/>
        <w:autoSpaceDN/>
        <w:bidi w:val="0"/>
        <w:adjustRightInd/>
        <w:snapToGrid/>
        <w:spacing w:line="560" w:lineRule="exact"/>
        <w:ind w:left="0" w:leftChars="0" w:right="0" w:rightChars="0" w:firstLine="643" w:firstLineChars="200"/>
        <w:jc w:val="both"/>
        <w:textAlignment w:val="auto"/>
        <w:outlineLvl w:val="9"/>
        <w:rPr>
          <w:rFonts w:hint="eastAsia" w:ascii="Times New Roman" w:hAnsi="Times New Roman" w:eastAsia="仿宋_GB2312" w:cs="仿宋_GB2312"/>
          <w:b/>
          <w:bCs/>
          <w:sz w:val="32"/>
          <w:szCs w:val="32"/>
          <w:lang w:val="en-US" w:eastAsia="zh-CN"/>
        </w:rPr>
      </w:pPr>
      <w:r>
        <w:rPr>
          <w:rFonts w:hint="eastAsia" w:ascii="Times New Roman" w:hAnsi="Times New Roman" w:eastAsia="仿宋_GB2312" w:cs="仿宋_GB2312"/>
          <w:b/>
          <w:bCs/>
          <w:sz w:val="32"/>
          <w:szCs w:val="32"/>
          <w:lang w:val="en-US" w:eastAsia="zh-CN"/>
        </w:rPr>
        <w:t>（四）《2023年张店</w:t>
      </w:r>
      <w:bookmarkStart w:id="10" w:name="_GoBack"/>
      <w:bookmarkEnd w:id="10"/>
      <w:r>
        <w:rPr>
          <w:rFonts w:hint="eastAsia" w:ascii="Times New Roman" w:hAnsi="Times New Roman" w:eastAsia="仿宋_GB2312" w:cs="仿宋_GB2312"/>
          <w:b/>
          <w:bCs/>
          <w:sz w:val="32"/>
          <w:szCs w:val="32"/>
          <w:lang w:val="en-US" w:eastAsia="zh-CN"/>
        </w:rPr>
        <w:t>区政务公开工作方案》落实情况</w:t>
      </w:r>
    </w:p>
    <w:p>
      <w:pPr>
        <w:keepNext w:val="0"/>
        <w:keepLines w:val="0"/>
        <w:pageBreakBefore w:val="0"/>
        <w:widowControl w:val="0"/>
        <w:kinsoku/>
        <w:wordWrap w:val="0"/>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shd w:val="clear" w:color="auto" w:fill="FFFFFF"/>
          <w:lang w:eastAsia="zh-CN"/>
        </w:rPr>
      </w:pPr>
      <w:r>
        <w:rPr>
          <w:rFonts w:hint="eastAsia" w:ascii="仿宋_GB2312" w:hAnsi="仿宋_GB2312" w:eastAsia="仿宋_GB2312" w:cs="仿宋_GB2312"/>
          <w:sz w:val="32"/>
          <w:szCs w:val="32"/>
          <w:shd w:val="clear" w:color="auto" w:fill="FFFFFF"/>
          <w:lang w:val="en-US" w:eastAsia="zh-CN"/>
        </w:rPr>
        <w:t>根据《</w:t>
      </w:r>
      <w:r>
        <w:rPr>
          <w:rFonts w:hint="default" w:ascii="Times New Roman" w:hAnsi="Times New Roman" w:eastAsia="仿宋_GB2312" w:cs="Times New Roman"/>
          <w:sz w:val="32"/>
          <w:szCs w:val="32"/>
          <w:shd w:val="clear" w:color="auto" w:fill="FFFFFF"/>
          <w:lang w:val="en-US" w:eastAsia="zh-CN"/>
        </w:rPr>
        <w:t>2023</w:t>
      </w:r>
      <w:r>
        <w:rPr>
          <w:rFonts w:hint="eastAsia" w:ascii="仿宋_GB2312" w:hAnsi="仿宋_GB2312" w:eastAsia="仿宋_GB2312" w:cs="仿宋_GB2312"/>
          <w:sz w:val="32"/>
          <w:szCs w:val="32"/>
          <w:shd w:val="clear" w:color="auto" w:fill="FFFFFF"/>
          <w:lang w:val="en-US" w:eastAsia="zh-CN"/>
        </w:rPr>
        <w:t>年张店区政务公开工作方案》要求，</w:t>
      </w:r>
      <w:r>
        <w:rPr>
          <w:rFonts w:hint="eastAsia" w:ascii="仿宋_GB2312" w:hAnsi="仿宋_GB2312" w:eastAsia="仿宋_GB2312" w:cs="仿宋_GB2312"/>
          <w:sz w:val="32"/>
          <w:szCs w:val="32"/>
          <w:shd w:val="clear" w:color="auto" w:fill="FFFFFF"/>
        </w:rPr>
        <w:t>认真抓好贯彻落实</w:t>
      </w:r>
      <w:r>
        <w:rPr>
          <w:rFonts w:hint="eastAsia" w:ascii="仿宋_GB2312" w:hAnsi="仿宋_GB2312" w:eastAsia="仿宋_GB2312" w:cs="仿宋_GB2312"/>
          <w:sz w:val="32"/>
          <w:szCs w:val="32"/>
          <w:shd w:val="clear" w:color="auto" w:fill="FFFFFF"/>
          <w:lang w:eastAsia="zh-CN"/>
        </w:rPr>
        <w:t>，明确公开责任，严格按照任务清单抓好政府信息公开日常工作，夯实常态化工作基础。加强</w:t>
      </w:r>
      <w:r>
        <w:rPr>
          <w:rFonts w:hint="eastAsia" w:ascii="仿宋_GB2312" w:hAnsi="仿宋_GB2312" w:eastAsia="仿宋_GB2312" w:cs="仿宋_GB2312"/>
          <w:sz w:val="32"/>
          <w:szCs w:val="32"/>
          <w:shd w:val="clear" w:color="auto" w:fill="FFFFFF"/>
          <w:lang w:val="en-US" w:eastAsia="zh-CN"/>
        </w:rPr>
        <w:t>单位</w:t>
      </w:r>
      <w:r>
        <w:rPr>
          <w:rFonts w:hint="eastAsia" w:ascii="仿宋_GB2312" w:hAnsi="仿宋_GB2312" w:eastAsia="仿宋_GB2312" w:cs="仿宋_GB2312"/>
          <w:sz w:val="32"/>
          <w:szCs w:val="32"/>
          <w:shd w:val="clear" w:color="auto" w:fill="FFFFFF"/>
          <w:lang w:eastAsia="zh-CN"/>
        </w:rPr>
        <w:t>内部老带新培训，加大人才交流和业务培训力度，进一步提高政务公开队伍的专业化水平。</w:t>
      </w:r>
      <w:r>
        <w:rPr>
          <w:rFonts w:hint="eastAsia" w:ascii="仿宋_GB2312" w:hAnsi="仿宋_GB2312" w:eastAsia="仿宋_GB2312" w:cs="仿宋_GB2312"/>
          <w:sz w:val="32"/>
          <w:szCs w:val="32"/>
          <w:shd w:val="clear" w:color="auto" w:fill="FFFFFF"/>
          <w:lang w:val="en-US" w:eastAsia="zh-CN"/>
        </w:rPr>
        <w:t>认真做好整改工作，</w:t>
      </w:r>
      <w:r>
        <w:rPr>
          <w:rFonts w:hint="eastAsia" w:ascii="仿宋_GB2312" w:hAnsi="仿宋_GB2312" w:eastAsia="仿宋_GB2312" w:cs="仿宋_GB2312"/>
          <w:sz w:val="32"/>
          <w:szCs w:val="32"/>
          <w:shd w:val="clear" w:color="auto" w:fill="FFFFFF"/>
          <w:lang w:eastAsia="zh-CN"/>
        </w:rPr>
        <w:t>对照查出、</w:t>
      </w:r>
      <w:r>
        <w:rPr>
          <w:rFonts w:hint="eastAsia" w:ascii="仿宋_GB2312" w:hAnsi="仿宋_GB2312" w:eastAsia="仿宋_GB2312" w:cs="仿宋_GB2312"/>
          <w:sz w:val="32"/>
          <w:szCs w:val="32"/>
          <w:shd w:val="clear" w:color="auto" w:fill="FFFFFF"/>
          <w:lang w:val="en-US" w:eastAsia="zh-CN"/>
        </w:rPr>
        <w:t>反馈</w:t>
      </w:r>
      <w:r>
        <w:rPr>
          <w:rFonts w:hint="eastAsia" w:ascii="仿宋_GB2312" w:hAnsi="仿宋_GB2312" w:eastAsia="仿宋_GB2312" w:cs="仿宋_GB2312"/>
          <w:sz w:val="32"/>
          <w:szCs w:val="32"/>
          <w:shd w:val="clear" w:color="auto" w:fill="FFFFFF"/>
          <w:lang w:eastAsia="zh-CN"/>
        </w:rPr>
        <w:t>问题举一反三，在规定时限完成</w:t>
      </w:r>
      <w:r>
        <w:rPr>
          <w:rFonts w:hint="eastAsia" w:ascii="仿宋_GB2312" w:hAnsi="仿宋_GB2312" w:eastAsia="仿宋_GB2312" w:cs="仿宋_GB2312"/>
          <w:sz w:val="32"/>
          <w:szCs w:val="32"/>
          <w:shd w:val="clear" w:color="auto" w:fill="FFFFFF"/>
          <w:lang w:val="en-US" w:eastAsia="zh-CN"/>
        </w:rPr>
        <w:t>整改。充分发挥职能优势，在部署安排业务工作的同时对相关公开事宜提出具体要求并督导落实，做到业务工作与政务公开同步推进。</w:t>
      </w:r>
    </w:p>
    <w:p>
      <w:pPr>
        <w:keepNext w:val="0"/>
        <w:keepLines w:val="0"/>
        <w:pageBreakBefore w:val="0"/>
        <w:widowControl w:val="0"/>
        <w:kinsoku/>
        <w:wordWrap w:val="0"/>
        <w:overflowPunct/>
        <w:topLinePunct w:val="0"/>
        <w:autoSpaceDE/>
        <w:autoSpaceDN/>
        <w:bidi w:val="0"/>
        <w:adjustRightInd/>
        <w:snapToGrid/>
        <w:spacing w:line="560" w:lineRule="exact"/>
        <w:ind w:firstLine="480" w:firstLineChars="200"/>
        <w:textAlignment w:val="auto"/>
        <w:rPr>
          <w:rFonts w:hint="default" w:ascii="Times New Roman" w:hAnsi="Times New Roman" w:eastAsia="宋体" w:cs="宋体"/>
          <w:i w:val="0"/>
          <w:caps w:val="0"/>
          <w:color w:val="000000" w:themeColor="text1"/>
          <w:spacing w:val="0"/>
          <w:kern w:val="2"/>
          <w:sz w:val="24"/>
          <w:szCs w:val="24"/>
          <w:shd w:val="clear" w:fill="FFFFFF"/>
          <w:lang w:val="en-US" w:eastAsia="zh-CN" w:bidi="ar-SA"/>
          <w14:textFill>
            <w14:solidFill>
              <w14:schemeClr w14:val="tx1"/>
            </w14:solidFill>
          </w14:textFill>
        </w:rPr>
      </w:pPr>
    </w:p>
    <w:sectPr>
      <w:footerReference r:id="rId3" w:type="default"/>
      <w:pgSz w:w="11906" w:h="16838"/>
      <w:pgMar w:top="2098" w:right="1474" w:bottom="1984" w:left="1588"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大标宋简体">
    <w:altName w:val="微软雅黑"/>
    <w:panose1 w:val="02010601030101010101"/>
    <w:charset w:val="86"/>
    <w:family w:val="auto"/>
    <w:pitch w:val="default"/>
    <w:sig w:usb0="00000000" w:usb1="00000000" w:usb2="00000010" w:usb3="00000000" w:csb0="00040000" w:csb1="00000000"/>
  </w:font>
  <w:font w:name="方正小标宋简体">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_GB2312">
    <w:panose1 w:val="02010609030101010101"/>
    <w:charset w:val="86"/>
    <w:family w:val="auto"/>
    <w:pitch w:val="default"/>
    <w:sig w:usb0="00000001" w:usb1="080E0000" w:usb2="00000000" w:usb3="00000000" w:csb0="00040000" w:csb1="00000000"/>
  </w:font>
  <w:font w:name="Calibri Light">
    <w:panose1 w:val="020F0302020204030204"/>
    <w:charset w:val="00"/>
    <w:family w:val="auto"/>
    <w:pitch w:val="default"/>
    <w:sig w:usb0="E4002EFF" w:usb1="C000247B" w:usb2="00000009" w:usb3="00000000" w:csb0="200001FF" w:csb1="00000000"/>
  </w:font>
  <w:font w:name="DejaVu Sans">
    <w:altName w:val="Segoe Print"/>
    <w:panose1 w:val="020B0603030804020204"/>
    <w:charset w:val="00"/>
    <w:family w:val="auto"/>
    <w:pitch w:val="default"/>
    <w:sig w:usb0="00000000" w:usb1="00000000" w:usb2="0A246029" w:usb3="0400200C" w:csb0="600001FF" w:csb1="DFFF0000"/>
  </w:font>
  <w:font w:name="Segoe Print">
    <w:panose1 w:val="02000600000000000000"/>
    <w:charset w:val="00"/>
    <w:family w:val="auto"/>
    <w:pitch w:val="default"/>
    <w:sig w:usb0="0000028F" w:usb1="00000000" w:usb2="00000000" w:usb3="00000000" w:csb0="2000009F" w:csb1="47010000"/>
  </w:font>
  <w:font w:name="楷体">
    <w:panose1 w:val="02010609060101010101"/>
    <w:charset w:val="86"/>
    <w:family w:val="modern"/>
    <w:pitch w:val="default"/>
    <w:sig w:usb0="800002BF" w:usb1="38CF7CFA" w:usb2="00000016" w:usb3="00000000" w:csb0="00040001" w:csb1="00000000"/>
  </w:font>
  <w:font w:name="新宋体">
    <w:panose1 w:val="02010609030101010101"/>
    <w:charset w:val="86"/>
    <w:family w:val="auto"/>
    <w:pitch w:val="default"/>
    <w:sig w:usb0="000002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3"/>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5A5E3A9"/>
    <w:multiLevelType w:val="singleLevel"/>
    <w:tmpl w:val="65A5E3A9"/>
    <w:lvl w:ilvl="0" w:tentative="0">
      <w:start w:val="5"/>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JmNzVjZTcyNDEyM2M5MmMyNWExOTUwMWYyYmY5MzAifQ=="/>
  </w:docVars>
  <w:rsids>
    <w:rsidRoot w:val="11AF18C8"/>
    <w:rsid w:val="004D51FF"/>
    <w:rsid w:val="01814B25"/>
    <w:rsid w:val="01FF0799"/>
    <w:rsid w:val="024F5FA6"/>
    <w:rsid w:val="03410513"/>
    <w:rsid w:val="03B121FD"/>
    <w:rsid w:val="045828EA"/>
    <w:rsid w:val="046D1146"/>
    <w:rsid w:val="04B207B2"/>
    <w:rsid w:val="054C457F"/>
    <w:rsid w:val="057371B3"/>
    <w:rsid w:val="05F023A3"/>
    <w:rsid w:val="06B806D2"/>
    <w:rsid w:val="06F95B6C"/>
    <w:rsid w:val="071C67B2"/>
    <w:rsid w:val="0791677B"/>
    <w:rsid w:val="07DD1B15"/>
    <w:rsid w:val="08A939B1"/>
    <w:rsid w:val="095528B0"/>
    <w:rsid w:val="0B2055CE"/>
    <w:rsid w:val="0B92682A"/>
    <w:rsid w:val="0BBA7D58"/>
    <w:rsid w:val="0C027943"/>
    <w:rsid w:val="0C2409AA"/>
    <w:rsid w:val="0D0B468B"/>
    <w:rsid w:val="0D186D2B"/>
    <w:rsid w:val="0D4D54AE"/>
    <w:rsid w:val="0D72249E"/>
    <w:rsid w:val="0E53071E"/>
    <w:rsid w:val="0E761404"/>
    <w:rsid w:val="0E802B9D"/>
    <w:rsid w:val="0F103B33"/>
    <w:rsid w:val="106474FB"/>
    <w:rsid w:val="106F2189"/>
    <w:rsid w:val="11AF18C8"/>
    <w:rsid w:val="121F613C"/>
    <w:rsid w:val="129E0CE0"/>
    <w:rsid w:val="13512CCA"/>
    <w:rsid w:val="13584AC0"/>
    <w:rsid w:val="141D2158"/>
    <w:rsid w:val="145D68F5"/>
    <w:rsid w:val="14A02B65"/>
    <w:rsid w:val="14A63720"/>
    <w:rsid w:val="168A2CC2"/>
    <w:rsid w:val="16D715AA"/>
    <w:rsid w:val="17443173"/>
    <w:rsid w:val="17637C56"/>
    <w:rsid w:val="193D66FF"/>
    <w:rsid w:val="1A513CC6"/>
    <w:rsid w:val="1A66590F"/>
    <w:rsid w:val="1A6A77C7"/>
    <w:rsid w:val="1B241E2F"/>
    <w:rsid w:val="1BE275AA"/>
    <w:rsid w:val="1E6C584D"/>
    <w:rsid w:val="1EAE2E98"/>
    <w:rsid w:val="1EEF9D2B"/>
    <w:rsid w:val="1EF567A3"/>
    <w:rsid w:val="1EFED2BC"/>
    <w:rsid w:val="1F16056B"/>
    <w:rsid w:val="1F6FA78F"/>
    <w:rsid w:val="1F97332B"/>
    <w:rsid w:val="1FFB391B"/>
    <w:rsid w:val="20327491"/>
    <w:rsid w:val="20FD4946"/>
    <w:rsid w:val="22662CE9"/>
    <w:rsid w:val="22BD111A"/>
    <w:rsid w:val="23260BEC"/>
    <w:rsid w:val="246E0220"/>
    <w:rsid w:val="24904417"/>
    <w:rsid w:val="2494031B"/>
    <w:rsid w:val="24CC0FBA"/>
    <w:rsid w:val="25315E0A"/>
    <w:rsid w:val="25440438"/>
    <w:rsid w:val="25830190"/>
    <w:rsid w:val="267A2F26"/>
    <w:rsid w:val="26B03010"/>
    <w:rsid w:val="276318D0"/>
    <w:rsid w:val="279753FA"/>
    <w:rsid w:val="28030E35"/>
    <w:rsid w:val="297FAC76"/>
    <w:rsid w:val="299025D1"/>
    <w:rsid w:val="299048DB"/>
    <w:rsid w:val="2A0E0B54"/>
    <w:rsid w:val="2A1B25A6"/>
    <w:rsid w:val="2B05425F"/>
    <w:rsid w:val="2C447CA0"/>
    <w:rsid w:val="2C7116ED"/>
    <w:rsid w:val="2C844B24"/>
    <w:rsid w:val="2DA7DE71"/>
    <w:rsid w:val="2DF97147"/>
    <w:rsid w:val="2E067B05"/>
    <w:rsid w:val="2E1A2C48"/>
    <w:rsid w:val="2E80258B"/>
    <w:rsid w:val="2F6F1AFF"/>
    <w:rsid w:val="2FAD00FC"/>
    <w:rsid w:val="2FD1CCE0"/>
    <w:rsid w:val="2FFFE3B9"/>
    <w:rsid w:val="306E6D5C"/>
    <w:rsid w:val="30B958B7"/>
    <w:rsid w:val="31BF79E3"/>
    <w:rsid w:val="321E7E8D"/>
    <w:rsid w:val="322D528A"/>
    <w:rsid w:val="325C30C7"/>
    <w:rsid w:val="326B200A"/>
    <w:rsid w:val="32AB0965"/>
    <w:rsid w:val="331476EA"/>
    <w:rsid w:val="3365779C"/>
    <w:rsid w:val="33BC3ED6"/>
    <w:rsid w:val="33EC201B"/>
    <w:rsid w:val="33FFB2B4"/>
    <w:rsid w:val="33FFC301"/>
    <w:rsid w:val="34210F88"/>
    <w:rsid w:val="3567E435"/>
    <w:rsid w:val="36E3676B"/>
    <w:rsid w:val="37699AAC"/>
    <w:rsid w:val="37942ACE"/>
    <w:rsid w:val="37F7E421"/>
    <w:rsid w:val="38305B8A"/>
    <w:rsid w:val="387317DA"/>
    <w:rsid w:val="39FF13E5"/>
    <w:rsid w:val="3A7451DB"/>
    <w:rsid w:val="3AF2D530"/>
    <w:rsid w:val="3B9E1E39"/>
    <w:rsid w:val="3BBB6E46"/>
    <w:rsid w:val="3C264BBE"/>
    <w:rsid w:val="3C7E7E4E"/>
    <w:rsid w:val="3CDA747A"/>
    <w:rsid w:val="3CFE1A05"/>
    <w:rsid w:val="3DCE1F01"/>
    <w:rsid w:val="3DEE7C01"/>
    <w:rsid w:val="3E3728CB"/>
    <w:rsid w:val="3E4B10AA"/>
    <w:rsid w:val="3E5A149D"/>
    <w:rsid w:val="3EF6348E"/>
    <w:rsid w:val="3EFB61AD"/>
    <w:rsid w:val="3F37CDAB"/>
    <w:rsid w:val="3F573814"/>
    <w:rsid w:val="3F787C2F"/>
    <w:rsid w:val="3F7FE9C5"/>
    <w:rsid w:val="3F9FBD48"/>
    <w:rsid w:val="3FAF0AAB"/>
    <w:rsid w:val="3FAF747C"/>
    <w:rsid w:val="3FBF62C6"/>
    <w:rsid w:val="3FDFF999"/>
    <w:rsid w:val="3FFB0DE4"/>
    <w:rsid w:val="3FFF26B4"/>
    <w:rsid w:val="401A3EAF"/>
    <w:rsid w:val="42D3B604"/>
    <w:rsid w:val="436A3FC2"/>
    <w:rsid w:val="43AF2BAD"/>
    <w:rsid w:val="43D03586"/>
    <w:rsid w:val="43FB5839"/>
    <w:rsid w:val="442056B2"/>
    <w:rsid w:val="44D440C9"/>
    <w:rsid w:val="44F322D8"/>
    <w:rsid w:val="4522548B"/>
    <w:rsid w:val="45700C1F"/>
    <w:rsid w:val="45B8163A"/>
    <w:rsid w:val="46232568"/>
    <w:rsid w:val="47257C87"/>
    <w:rsid w:val="47537779"/>
    <w:rsid w:val="47FD0F98"/>
    <w:rsid w:val="486E0108"/>
    <w:rsid w:val="48FF5436"/>
    <w:rsid w:val="49B74824"/>
    <w:rsid w:val="49E037B7"/>
    <w:rsid w:val="4AFC1DF6"/>
    <w:rsid w:val="4B061B3A"/>
    <w:rsid w:val="4B882883"/>
    <w:rsid w:val="4B9FE3C2"/>
    <w:rsid w:val="4BC9F5B5"/>
    <w:rsid w:val="4BF84C7B"/>
    <w:rsid w:val="4C1C28F5"/>
    <w:rsid w:val="4C306094"/>
    <w:rsid w:val="4DA65075"/>
    <w:rsid w:val="4DD511A2"/>
    <w:rsid w:val="4DEDA4D5"/>
    <w:rsid w:val="4EDA594B"/>
    <w:rsid w:val="4F5234A7"/>
    <w:rsid w:val="4FDFB8AE"/>
    <w:rsid w:val="4FEFE2F2"/>
    <w:rsid w:val="4FFBBC6E"/>
    <w:rsid w:val="503C1593"/>
    <w:rsid w:val="505A6BF8"/>
    <w:rsid w:val="506F30FD"/>
    <w:rsid w:val="50C457EF"/>
    <w:rsid w:val="51F45C62"/>
    <w:rsid w:val="52757799"/>
    <w:rsid w:val="527B3E7F"/>
    <w:rsid w:val="539B5E18"/>
    <w:rsid w:val="53DB0AE9"/>
    <w:rsid w:val="548166EB"/>
    <w:rsid w:val="54BF1631"/>
    <w:rsid w:val="54FBE57F"/>
    <w:rsid w:val="55BDBFC2"/>
    <w:rsid w:val="5612582D"/>
    <w:rsid w:val="5666634F"/>
    <w:rsid w:val="567444B5"/>
    <w:rsid w:val="56A26A26"/>
    <w:rsid w:val="56ED6FD4"/>
    <w:rsid w:val="571F0D0D"/>
    <w:rsid w:val="572F195C"/>
    <w:rsid w:val="57478A97"/>
    <w:rsid w:val="57670F9D"/>
    <w:rsid w:val="57AB6C62"/>
    <w:rsid w:val="57B65FF5"/>
    <w:rsid w:val="57D7056B"/>
    <w:rsid w:val="58D5353D"/>
    <w:rsid w:val="58E33510"/>
    <w:rsid w:val="594E29F8"/>
    <w:rsid w:val="598A09CA"/>
    <w:rsid w:val="59DFD1AD"/>
    <w:rsid w:val="59FC080A"/>
    <w:rsid w:val="59FDCAFB"/>
    <w:rsid w:val="59FDDC8B"/>
    <w:rsid w:val="5A0F1E9F"/>
    <w:rsid w:val="5A767743"/>
    <w:rsid w:val="5A867D7B"/>
    <w:rsid w:val="5ABF35A0"/>
    <w:rsid w:val="5ABF657F"/>
    <w:rsid w:val="5AF7DF0E"/>
    <w:rsid w:val="5B005978"/>
    <w:rsid w:val="5B4C2789"/>
    <w:rsid w:val="5B934D58"/>
    <w:rsid w:val="5BFFFB06"/>
    <w:rsid w:val="5C700BBF"/>
    <w:rsid w:val="5DC739D1"/>
    <w:rsid w:val="5DEF33E6"/>
    <w:rsid w:val="5DFDAE03"/>
    <w:rsid w:val="5E9D7553"/>
    <w:rsid w:val="5EC2486D"/>
    <w:rsid w:val="5EFF46B3"/>
    <w:rsid w:val="5F4F50E3"/>
    <w:rsid w:val="5F586D45"/>
    <w:rsid w:val="5F6A595A"/>
    <w:rsid w:val="5F7D608F"/>
    <w:rsid w:val="5FAF2704"/>
    <w:rsid w:val="5FCF4F74"/>
    <w:rsid w:val="5FFC97AA"/>
    <w:rsid w:val="5FFE7671"/>
    <w:rsid w:val="607F79C4"/>
    <w:rsid w:val="60BF7150"/>
    <w:rsid w:val="60DC5496"/>
    <w:rsid w:val="60F622F8"/>
    <w:rsid w:val="61247EB8"/>
    <w:rsid w:val="63873EB0"/>
    <w:rsid w:val="63A80334"/>
    <w:rsid w:val="640A5F1B"/>
    <w:rsid w:val="645F063B"/>
    <w:rsid w:val="64CF535F"/>
    <w:rsid w:val="65ECF1BF"/>
    <w:rsid w:val="663FF422"/>
    <w:rsid w:val="66840834"/>
    <w:rsid w:val="6698303C"/>
    <w:rsid w:val="66A321B4"/>
    <w:rsid w:val="676547E9"/>
    <w:rsid w:val="679E5140"/>
    <w:rsid w:val="67B34F58"/>
    <w:rsid w:val="67BA5745"/>
    <w:rsid w:val="67D11A75"/>
    <w:rsid w:val="67E43B26"/>
    <w:rsid w:val="694832B2"/>
    <w:rsid w:val="697E7356"/>
    <w:rsid w:val="69AC2D05"/>
    <w:rsid w:val="69FDEC77"/>
    <w:rsid w:val="6A2E04EB"/>
    <w:rsid w:val="6A4D6BA7"/>
    <w:rsid w:val="6B161DF0"/>
    <w:rsid w:val="6B180B89"/>
    <w:rsid w:val="6B2DDFAE"/>
    <w:rsid w:val="6B887A32"/>
    <w:rsid w:val="6BEF68BF"/>
    <w:rsid w:val="6CCA108B"/>
    <w:rsid w:val="6DD37989"/>
    <w:rsid w:val="6DFF5019"/>
    <w:rsid w:val="6E5E1B28"/>
    <w:rsid w:val="6E7F27CE"/>
    <w:rsid w:val="6FAC3CC5"/>
    <w:rsid w:val="6FFA3357"/>
    <w:rsid w:val="71326C80"/>
    <w:rsid w:val="71741F07"/>
    <w:rsid w:val="71FA2B8B"/>
    <w:rsid w:val="72436BCD"/>
    <w:rsid w:val="72524DC3"/>
    <w:rsid w:val="72643153"/>
    <w:rsid w:val="72B57226"/>
    <w:rsid w:val="74315C13"/>
    <w:rsid w:val="7458629F"/>
    <w:rsid w:val="74857AD2"/>
    <w:rsid w:val="74CBDF4F"/>
    <w:rsid w:val="74DC48C7"/>
    <w:rsid w:val="74F74E86"/>
    <w:rsid w:val="75552234"/>
    <w:rsid w:val="75B7D147"/>
    <w:rsid w:val="75EF4115"/>
    <w:rsid w:val="75FF6493"/>
    <w:rsid w:val="762C21C9"/>
    <w:rsid w:val="76DA206B"/>
    <w:rsid w:val="77181135"/>
    <w:rsid w:val="7783011D"/>
    <w:rsid w:val="77A378E5"/>
    <w:rsid w:val="77AFA716"/>
    <w:rsid w:val="77D0B492"/>
    <w:rsid w:val="77DDA94D"/>
    <w:rsid w:val="77F788A5"/>
    <w:rsid w:val="77FB2453"/>
    <w:rsid w:val="77FF16EB"/>
    <w:rsid w:val="786E09E0"/>
    <w:rsid w:val="79A956DF"/>
    <w:rsid w:val="79F145A3"/>
    <w:rsid w:val="79F7DD72"/>
    <w:rsid w:val="7A5836DF"/>
    <w:rsid w:val="7A5F3BC1"/>
    <w:rsid w:val="7A7F5900"/>
    <w:rsid w:val="7AFE553D"/>
    <w:rsid w:val="7AFF3652"/>
    <w:rsid w:val="7BBE7574"/>
    <w:rsid w:val="7BF565BA"/>
    <w:rsid w:val="7CBC5116"/>
    <w:rsid w:val="7DB1BF67"/>
    <w:rsid w:val="7DEF83EB"/>
    <w:rsid w:val="7DFE5BF9"/>
    <w:rsid w:val="7DFFFB21"/>
    <w:rsid w:val="7E056E2A"/>
    <w:rsid w:val="7E2F1AA9"/>
    <w:rsid w:val="7EDFCB2D"/>
    <w:rsid w:val="7F1FD345"/>
    <w:rsid w:val="7F4F628D"/>
    <w:rsid w:val="7F51DC5A"/>
    <w:rsid w:val="7F7D9FD8"/>
    <w:rsid w:val="7F7DB70C"/>
    <w:rsid w:val="7F7F00C0"/>
    <w:rsid w:val="7F9B2DB8"/>
    <w:rsid w:val="7FAE99D6"/>
    <w:rsid w:val="7FAF0AA5"/>
    <w:rsid w:val="7FAFEE82"/>
    <w:rsid w:val="7FD52939"/>
    <w:rsid w:val="7FD601A3"/>
    <w:rsid w:val="7FD87D83"/>
    <w:rsid w:val="7FE136D8"/>
    <w:rsid w:val="7FE33C58"/>
    <w:rsid w:val="7FEA594E"/>
    <w:rsid w:val="7FEB027D"/>
    <w:rsid w:val="7FEEB283"/>
    <w:rsid w:val="7FF3C5F5"/>
    <w:rsid w:val="7FF687BD"/>
    <w:rsid w:val="7FFB7FD5"/>
    <w:rsid w:val="7FFF5995"/>
    <w:rsid w:val="7FFF5F2A"/>
    <w:rsid w:val="8CE3C832"/>
    <w:rsid w:val="937FF006"/>
    <w:rsid w:val="9BED0BAC"/>
    <w:rsid w:val="9BFA0E74"/>
    <w:rsid w:val="9BFFF7EF"/>
    <w:rsid w:val="9EF5BCA0"/>
    <w:rsid w:val="9F7FF7AB"/>
    <w:rsid w:val="9F9F6465"/>
    <w:rsid w:val="A6EC7140"/>
    <w:rsid w:val="B06F583F"/>
    <w:rsid w:val="B1FF84B5"/>
    <w:rsid w:val="B4FD23C0"/>
    <w:rsid w:val="B7531CC1"/>
    <w:rsid w:val="B7BDA605"/>
    <w:rsid w:val="B7E713BB"/>
    <w:rsid w:val="B7FD55C5"/>
    <w:rsid w:val="B9D665D3"/>
    <w:rsid w:val="BA1AFE2A"/>
    <w:rsid w:val="BADFBF21"/>
    <w:rsid w:val="BB9F4788"/>
    <w:rsid w:val="BBB72A76"/>
    <w:rsid w:val="BBF6167E"/>
    <w:rsid w:val="BC773C7A"/>
    <w:rsid w:val="BCCA878B"/>
    <w:rsid w:val="BD17DCC4"/>
    <w:rsid w:val="BE1A4601"/>
    <w:rsid w:val="BEFB5364"/>
    <w:rsid w:val="BF3F4EDD"/>
    <w:rsid w:val="BF9CA563"/>
    <w:rsid w:val="BFA4314D"/>
    <w:rsid w:val="BFCDB3D4"/>
    <w:rsid w:val="BFCE6BBB"/>
    <w:rsid w:val="BFCFD74B"/>
    <w:rsid w:val="BFD9F1B6"/>
    <w:rsid w:val="BFFB7E30"/>
    <w:rsid w:val="BFFF1E60"/>
    <w:rsid w:val="BFFF632F"/>
    <w:rsid w:val="BFFF6FDD"/>
    <w:rsid w:val="CBFFD682"/>
    <w:rsid w:val="CE7E936C"/>
    <w:rsid w:val="CFEE1893"/>
    <w:rsid w:val="CFEF45BC"/>
    <w:rsid w:val="D169A40B"/>
    <w:rsid w:val="D3F79759"/>
    <w:rsid w:val="D4FA0C26"/>
    <w:rsid w:val="D749D24F"/>
    <w:rsid w:val="D7B9167B"/>
    <w:rsid w:val="DAEFFD6D"/>
    <w:rsid w:val="DB7F579F"/>
    <w:rsid w:val="DBE9D810"/>
    <w:rsid w:val="DBF81840"/>
    <w:rsid w:val="DBFFB4A6"/>
    <w:rsid w:val="DDE6AEB6"/>
    <w:rsid w:val="DDE7507C"/>
    <w:rsid w:val="DDF61B0D"/>
    <w:rsid w:val="DE2FBA7D"/>
    <w:rsid w:val="DE7FF687"/>
    <w:rsid w:val="DEDFFAA1"/>
    <w:rsid w:val="DF7F1EB8"/>
    <w:rsid w:val="DF7FDB36"/>
    <w:rsid w:val="DF9EBCDA"/>
    <w:rsid w:val="DFA799CC"/>
    <w:rsid w:val="DFBF65D5"/>
    <w:rsid w:val="DFDA111C"/>
    <w:rsid w:val="DFFEBADC"/>
    <w:rsid w:val="DFFFF1D6"/>
    <w:rsid w:val="EB739338"/>
    <w:rsid w:val="EBCB7DBE"/>
    <w:rsid w:val="ED5FDAB5"/>
    <w:rsid w:val="EDD9EA72"/>
    <w:rsid w:val="EEB55AE4"/>
    <w:rsid w:val="EEB7ADF7"/>
    <w:rsid w:val="EEFF5DC1"/>
    <w:rsid w:val="EF6517DA"/>
    <w:rsid w:val="EF779708"/>
    <w:rsid w:val="EF7B8356"/>
    <w:rsid w:val="F1BF809A"/>
    <w:rsid w:val="F3DF1E36"/>
    <w:rsid w:val="F3FB2AF5"/>
    <w:rsid w:val="F3FD79C6"/>
    <w:rsid w:val="F57FE209"/>
    <w:rsid w:val="F6FFA011"/>
    <w:rsid w:val="F77EF1DF"/>
    <w:rsid w:val="F7BF29DD"/>
    <w:rsid w:val="F7C6E28F"/>
    <w:rsid w:val="F7DF3BA0"/>
    <w:rsid w:val="F7F38E38"/>
    <w:rsid w:val="F83DEEAF"/>
    <w:rsid w:val="F8B3BE0D"/>
    <w:rsid w:val="F8BD1FB4"/>
    <w:rsid w:val="F8FF8C9A"/>
    <w:rsid w:val="F9D74DC4"/>
    <w:rsid w:val="FADFE440"/>
    <w:rsid w:val="FAF6D81D"/>
    <w:rsid w:val="FB763391"/>
    <w:rsid w:val="FB9E5F7D"/>
    <w:rsid w:val="FBBB334B"/>
    <w:rsid w:val="FBEFE45A"/>
    <w:rsid w:val="FBF3E1DF"/>
    <w:rsid w:val="FCEAC882"/>
    <w:rsid w:val="FCFB72AD"/>
    <w:rsid w:val="FD7D6D59"/>
    <w:rsid w:val="FDA37375"/>
    <w:rsid w:val="FDB5CE77"/>
    <w:rsid w:val="FDF36F88"/>
    <w:rsid w:val="FED7CB58"/>
    <w:rsid w:val="FEEF09AD"/>
    <w:rsid w:val="FEF2E319"/>
    <w:rsid w:val="FEF65CBA"/>
    <w:rsid w:val="FEF796C4"/>
    <w:rsid w:val="FEFD2F8A"/>
    <w:rsid w:val="FF5F1BC6"/>
    <w:rsid w:val="FF740761"/>
    <w:rsid w:val="FF7F4FCA"/>
    <w:rsid w:val="FF976806"/>
    <w:rsid w:val="FFB6A4CE"/>
    <w:rsid w:val="FFBFB1B6"/>
    <w:rsid w:val="FFC6A744"/>
    <w:rsid w:val="FFDA0F91"/>
    <w:rsid w:val="FFEFBE9D"/>
    <w:rsid w:val="FFF77BB1"/>
    <w:rsid w:val="FFF7A4C2"/>
    <w:rsid w:val="FFFB156F"/>
    <w:rsid w:val="FFFF30E5"/>
    <w:rsid w:val="FFFF69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qFormat/>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qFormat/>
    <w:uiPriority w:val="0"/>
    <w:pPr>
      <w:spacing w:after="120" w:afterLines="0" w:afterAutospacing="0"/>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Body Text 2"/>
    <w:basedOn w:val="1"/>
    <w:qFormat/>
    <w:uiPriority w:val="0"/>
    <w:pPr>
      <w:spacing w:after="120" w:line="480" w:lineRule="auto"/>
    </w:p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chart" Target="charts/chart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package" Target="../embeddings/Workbook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sz="1600" b="1">
                <a:latin typeface="仿宋_GB2312" panose="02010609030101010101" charset="-122"/>
                <a:ea typeface="仿宋_GB2312" panose="02010609030101010101" charset="-122"/>
              </a:rPr>
              <a:t>政府信息公开数量</a:t>
            </a:r>
            <a:endParaRPr sz="1600" b="1">
              <a:latin typeface="仿宋_GB2312" panose="02010609030101010101" charset="-122"/>
              <a:ea typeface="仿宋_GB2312" panose="02010609030101010101" charset="-122"/>
            </a:endParaRPr>
          </a:p>
        </c:rich>
      </c:tx>
      <c:layout/>
      <c:overlay val="0"/>
      <c:spPr>
        <a:noFill/>
        <a:ln>
          <a:noFill/>
        </a:ln>
        <a:effectLst/>
      </c:spPr>
    </c:title>
    <c:autoTitleDeleted val="0"/>
    <c:plotArea>
      <c:layout>
        <c:manualLayout>
          <c:layoutTarget val="inner"/>
          <c:xMode val="edge"/>
          <c:yMode val="edge"/>
          <c:x val="0.091075"/>
          <c:y val="0.136166666666667"/>
          <c:w val="0.905175"/>
          <c:h val="0.7924"/>
        </c:manualLayout>
      </c:layout>
      <c:barChart>
        <c:barDir val="col"/>
        <c:grouping val="clustered"/>
        <c:varyColors val="0"/>
        <c:ser>
          <c:idx val="0"/>
          <c:order val="0"/>
          <c:tx>
            <c:strRef>
              <c:f>Sheet1!$B$1</c:f>
              <c:strCache>
                <c:ptCount val="1"/>
                <c:pt idx="0">
                  <c:v>政府信息公开数量</c:v>
                </c:pt>
              </c:strCache>
            </c:strRef>
          </c:tx>
          <c:spPr>
            <a:solidFill>
              <a:schemeClr val="accent1"/>
            </a:solidFill>
            <a:ln>
              <a:noFill/>
            </a:ln>
            <a:effectLst/>
          </c:spPr>
          <c:invertIfNegative val="0"/>
          <c:dPt>
            <c:idx val="0"/>
            <c:invertIfNegative val="0"/>
            <c:bubble3D val="0"/>
            <c:spPr>
              <a:solidFill>
                <a:schemeClr val="accent1"/>
              </a:solidFill>
              <a:ln>
                <a:noFill/>
              </a:ln>
              <a:effectLst/>
            </c:spPr>
          </c:dPt>
          <c:dLbls>
            <c:dLbl>
              <c:idx val="0"/>
              <c:layout/>
              <c:dLblPos val="outEnd"/>
              <c:showLegendKey val="0"/>
              <c:showVal val="1"/>
              <c:showCatName val="0"/>
              <c:showSerName val="0"/>
              <c:showPercent val="0"/>
              <c:showBubbleSize val="0"/>
              <c:extLst>
                <c:ext xmlns:c15="http://schemas.microsoft.com/office/drawing/2012/chart" uri="{CE6537A1-D6FC-4f65-9D91-7224C49458BB}"/>
              </c:extLst>
            </c:dLbl>
            <c:dLbl>
              <c:idx val="1"/>
              <c:layout/>
              <c:dLblPos val="outEnd"/>
              <c:showLegendKey val="0"/>
              <c:showVal val="1"/>
              <c:showCatName val="0"/>
              <c:showSerName val="0"/>
              <c:showPercent val="0"/>
              <c:showBubbleSize val="0"/>
              <c:extLst>
                <c:ext xmlns:c15="http://schemas.microsoft.com/office/drawing/2012/chart" uri="{CE6537A1-D6FC-4f65-9D91-7224C49458BB}"/>
              </c:extLst>
            </c:dLbl>
            <c:dLbl>
              <c:idx val="2"/>
              <c:layout/>
              <c:dLblPos val="outEnd"/>
              <c:showLegendKey val="0"/>
              <c:showVal val="1"/>
              <c:showCatName val="0"/>
              <c:showSerName val="0"/>
              <c:showPercent val="0"/>
              <c:showBubbleSize val="0"/>
              <c:extLst>
                <c:ext xmlns:c15="http://schemas.microsoft.com/office/drawing/2012/chart" uri="{CE6537A1-D6FC-4f65-9D91-7224C49458BB}"/>
              </c:extLst>
            </c:dLbl>
            <c:dLbl>
              <c:idx val="3"/>
              <c:layout/>
              <c:dLblPos val="outEnd"/>
              <c:showLegendKey val="0"/>
              <c:showVal val="1"/>
              <c:showCatName val="0"/>
              <c:showSerName val="0"/>
              <c:showPercent val="0"/>
              <c:showBubbleSize val="0"/>
              <c:extLst>
                <c:ext xmlns:c15="http://schemas.microsoft.com/office/drawing/2012/chart" uri="{CE6537A1-D6FC-4f65-9D91-7224C49458BB}"/>
              </c:extLst>
            </c:dLbl>
            <c:dLbl>
              <c:idx val="4"/>
              <c:layout/>
              <c:dLblPos val="outEnd"/>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0"/>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Sheet1!$A$2:$A$6</c:f>
              <c:numCache>
                <c:formatCode>General</c:formatCode>
                <c:ptCount val="5"/>
                <c:pt idx="0">
                  <c:v>2019</c:v>
                </c:pt>
                <c:pt idx="1">
                  <c:v>2020</c:v>
                </c:pt>
                <c:pt idx="2">
                  <c:v>2021</c:v>
                </c:pt>
                <c:pt idx="3">
                  <c:v>2022</c:v>
                </c:pt>
                <c:pt idx="4">
                  <c:v>2023</c:v>
                </c:pt>
              </c:numCache>
            </c:numRef>
          </c:cat>
          <c:val>
            <c:numRef>
              <c:f>Sheet1!$B$2:$B$6</c:f>
              <c:numCache>
                <c:formatCode>General</c:formatCode>
                <c:ptCount val="5"/>
                <c:pt idx="0">
                  <c:v>60</c:v>
                </c:pt>
                <c:pt idx="1">
                  <c:v>109</c:v>
                </c:pt>
                <c:pt idx="2">
                  <c:v>74</c:v>
                </c:pt>
                <c:pt idx="3">
                  <c:v>84</c:v>
                </c:pt>
                <c:pt idx="4">
                  <c:v>93</c:v>
                </c:pt>
              </c:numCache>
            </c:numRef>
          </c:val>
        </c:ser>
        <c:dLbls>
          <c:showLegendKey val="0"/>
          <c:showVal val="0"/>
          <c:showCatName val="0"/>
          <c:showSerName val="0"/>
          <c:showPercent val="0"/>
          <c:showBubbleSize val="0"/>
        </c:dLbls>
        <c:gapWidth val="219"/>
        <c:overlap val="-27"/>
        <c:axId val="728423427"/>
        <c:axId val="494128185"/>
      </c:barChart>
      <c:catAx>
        <c:axId val="728423427"/>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494128185"/>
        <c:crosses val="autoZero"/>
        <c:auto val="1"/>
        <c:lblAlgn val="ctr"/>
        <c:lblOffset val="100"/>
        <c:noMultiLvlLbl val="0"/>
      </c:catAx>
      <c:valAx>
        <c:axId val="494128185"/>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28423427"/>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Office_10.1.0.6690_F1E327BC-269C-435d-A152-05C5408002CA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2023-01-21T07:45:00Z</dcterms:created>
  <dc:creator>诗人与熊</dc:creator>
  <cp:lastModifiedBy>Administrator</cp:lastModifiedBy>
  <cp:lastPrinted>2024-01-04T10:34:00Z</cp:lastPrinted>
  <dcterms:modified xsi:type="dcterms:W3CDTF">2024-01-16T08:09:06Z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2052-10.1.0.6690</vt:lpwstr>
  </property>
  <property fmtid="{D5CDD505-2E9C-101B-9397-08002B2CF9AE}" pid="3" name="ICV">
    <vt:lpwstr>AA997AA0745C4772A4196D817533ED9B</vt:lpwstr>
  </property>
</Properties>
</file>