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both"/>
        <w:textAlignment w:val="auto"/>
        <w:outlineLvl w:val="9"/>
        <w:rPr>
          <w:rFonts w:hint="eastAsia" w:ascii="Times New Roman" w:hAnsi="Times New Roman" w:eastAsia="方正小标宋简体" w:cs="方正小标宋简体"/>
          <w:b w:val="0"/>
          <w:bCs/>
          <w:i w:val="0"/>
          <w:caps w:val="0"/>
          <w:color w:val="000000" w:themeColor="text1"/>
          <w:spacing w:val="-17"/>
          <w:sz w:val="44"/>
          <w:szCs w:val="44"/>
          <w:shd w:val="clear" w:fill="FFFFFF"/>
          <w:lang w:val="en-US" w:eastAsia="zh-CN"/>
          <w14:textFill>
            <w14:solidFill>
              <w14:schemeClr w14:val="tx1"/>
            </w14:solidFill>
          </w14:textFill>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center"/>
        <w:textAlignment w:val="auto"/>
        <w:outlineLvl w:val="9"/>
        <w:rPr>
          <w:rFonts w:hint="eastAsia" w:ascii="Times New Roman" w:hAnsi="Times New Roman" w:eastAsia="方正小标宋简体" w:cs="方正小标宋简体"/>
          <w:b w:val="0"/>
          <w:bCs/>
          <w:i w:val="0"/>
          <w:caps w:val="0"/>
          <w:color w:val="000000" w:themeColor="text1"/>
          <w:spacing w:val="-17"/>
          <w:sz w:val="44"/>
          <w:szCs w:val="44"/>
          <w:shd w:val="clear" w:fill="FFFFFF"/>
          <w:lang w:val="en-US" w:eastAsia="zh-CN"/>
          <w14:textFill>
            <w14:solidFill>
              <w14:schemeClr w14:val="tx1"/>
            </w14:solidFill>
          </w14:textFill>
        </w:rPr>
      </w:pPr>
      <w:r>
        <w:rPr>
          <w:rFonts w:hint="eastAsia" w:ascii="Times New Roman" w:hAnsi="Times New Roman" w:eastAsia="方正小标宋简体" w:cs="方正小标宋简体"/>
          <w:b w:val="0"/>
          <w:bCs/>
          <w:i w:val="0"/>
          <w:caps w:val="0"/>
          <w:color w:val="000000" w:themeColor="text1"/>
          <w:spacing w:val="-17"/>
          <w:sz w:val="44"/>
          <w:szCs w:val="44"/>
          <w:shd w:val="clear" w:fill="FFFFFF"/>
          <w:lang w:val="en-US" w:eastAsia="zh-CN"/>
          <w14:textFill>
            <w14:solidFill>
              <w14:schemeClr w14:val="tx1"/>
            </w14:solidFill>
          </w14:textFill>
        </w:rPr>
        <w:t>张店区金融运行监测中心</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center"/>
        <w:textAlignment w:val="auto"/>
        <w:outlineLvl w:val="9"/>
        <w:rPr>
          <w:rFonts w:hint="eastAsia" w:ascii="Times New Roman" w:hAnsi="Times New Roman" w:eastAsia="方正小标宋简体" w:cs="方正小标宋简体"/>
          <w:b w:val="0"/>
          <w:bCs/>
          <w:i w:val="0"/>
          <w:caps w:val="0"/>
          <w:color w:val="000000" w:themeColor="text1"/>
          <w:spacing w:val="0"/>
          <w:sz w:val="44"/>
          <w:szCs w:val="44"/>
          <w:shd w:val="clear" w:fill="FFFFFF"/>
          <w:lang w:eastAsia="zh-CN"/>
          <w14:textFill>
            <w14:solidFill>
              <w14:schemeClr w14:val="tx1"/>
            </w14:solidFill>
          </w14:textFill>
        </w:rPr>
      </w:pPr>
      <w:r>
        <w:rPr>
          <w:rFonts w:hint="default" w:ascii="Times New Roman" w:hAnsi="Times New Roman" w:eastAsia="方正小标宋简体" w:cs="Times New Roman"/>
          <w:b w:val="0"/>
          <w:bCs/>
          <w:i w:val="0"/>
          <w:caps w:val="0"/>
          <w:color w:val="000000" w:themeColor="text1"/>
          <w:spacing w:val="-17"/>
          <w:sz w:val="44"/>
          <w:szCs w:val="44"/>
          <w:shd w:val="clear" w:fill="FFFFFF"/>
          <w:lang w:val="en-US" w:eastAsia="zh-CN"/>
          <w14:textFill>
            <w14:solidFill>
              <w14:schemeClr w14:val="tx1"/>
            </w14:solidFill>
          </w14:textFill>
        </w:rPr>
        <w:t>202</w:t>
      </w:r>
      <w:r>
        <w:rPr>
          <w:rFonts w:hint="default" w:ascii="Times New Roman" w:hAnsi="Times New Roman" w:eastAsia="方正小标宋简体" w:cs="Times New Roman"/>
          <w:b w:val="0"/>
          <w:bCs/>
          <w:i w:val="0"/>
          <w:caps w:val="0"/>
          <w:color w:val="000000" w:themeColor="text1"/>
          <w:spacing w:val="-17"/>
          <w:sz w:val="44"/>
          <w:szCs w:val="44"/>
          <w:shd w:val="clear" w:fill="FFFFFF"/>
          <w:lang w:val="en" w:eastAsia="zh-CN"/>
          <w14:textFill>
            <w14:solidFill>
              <w14:schemeClr w14:val="tx1"/>
            </w14:solidFill>
          </w14:textFill>
        </w:rPr>
        <w:t>5</w:t>
      </w:r>
      <w:r>
        <w:rPr>
          <w:rFonts w:hint="eastAsia" w:ascii="Times New Roman" w:hAnsi="Times New Roman" w:eastAsia="方正小标宋简体" w:cs="方正小标宋简体"/>
          <w:b w:val="0"/>
          <w:bCs/>
          <w:i w:val="0"/>
          <w:caps w:val="0"/>
          <w:color w:val="000000" w:themeColor="text1"/>
          <w:spacing w:val="-17"/>
          <w:sz w:val="44"/>
          <w:szCs w:val="44"/>
          <w:shd w:val="clear" w:fill="FFFFFF"/>
          <w:lang w:val="en-US" w:eastAsia="zh-CN"/>
          <w14:textFill>
            <w14:solidFill>
              <w14:schemeClr w14:val="tx1"/>
            </w14:solidFill>
          </w14:textFill>
        </w:rPr>
        <w:t>年</w:t>
      </w:r>
      <w:r>
        <w:rPr>
          <w:rFonts w:hint="eastAsia" w:ascii="Times New Roman" w:hAnsi="Times New Roman" w:eastAsia="方正小标宋简体" w:cs="方正小标宋简体"/>
          <w:b w:val="0"/>
          <w:bCs/>
          <w:i w:val="0"/>
          <w:caps w:val="0"/>
          <w:color w:val="000000" w:themeColor="text1"/>
          <w:spacing w:val="-17"/>
          <w:sz w:val="44"/>
          <w:szCs w:val="44"/>
          <w:shd w:val="clear" w:fill="FFFFFF"/>
          <w14:textFill>
            <w14:solidFill>
              <w14:schemeClr w14:val="tx1"/>
            </w14:solidFill>
          </w14:textFill>
        </w:rPr>
        <w:t>政府信息公开工作</w:t>
      </w:r>
      <w:r>
        <w:rPr>
          <w:rFonts w:hint="eastAsia" w:ascii="Times New Roman" w:hAnsi="Times New Roman" w:eastAsia="方正小标宋简体" w:cs="方正小标宋简体"/>
          <w:b w:val="0"/>
          <w:bCs/>
          <w:i w:val="0"/>
          <w:caps w:val="0"/>
          <w:color w:val="000000" w:themeColor="text1"/>
          <w:spacing w:val="0"/>
          <w:sz w:val="44"/>
          <w:szCs w:val="44"/>
          <w:shd w:val="clear" w:fill="FFFFFF"/>
          <w14:textFill>
            <w14:solidFill>
              <w14:schemeClr w14:val="tx1"/>
            </w14:solidFill>
          </w14:textFill>
        </w:rPr>
        <w:t>年度报告</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right="0"/>
        <w:jc w:val="both"/>
        <w:textAlignment w:val="auto"/>
        <w:rPr>
          <w:rFonts w:hint="eastAsia" w:ascii="Times New Roman" w:hAnsi="Times New Roman" w:eastAsia="宋体" w:cs="宋体"/>
          <w:i w:val="0"/>
          <w:caps w:val="0"/>
          <w:color w:val="000000" w:themeColor="text1"/>
          <w:spacing w:val="0"/>
          <w:sz w:val="24"/>
          <w:szCs w:val="24"/>
          <w14:textFill>
            <w14:solidFill>
              <w14:schemeClr w14:val="tx1"/>
            </w14:solidFill>
          </w14:textFill>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Times New Roman" w:hAnsi="Times New Roman" w:eastAsia="宋体" w:cs="宋体"/>
          <w:i w:val="0"/>
          <w:caps w:val="0"/>
          <w:color w:val="000000" w:themeColor="text1"/>
          <w:spacing w:val="0"/>
          <w:kern w:val="2"/>
          <w:sz w:val="24"/>
          <w:szCs w:val="24"/>
          <w:shd w:val="clear" w:fill="FFFFFF"/>
          <w:lang w:val="en-US" w:eastAsia="zh-CN" w:bidi="ar-SA"/>
          <w14:textFill>
            <w14:solidFill>
              <w14:schemeClr w14:val="tx1"/>
            </w14:solidFill>
          </w14:textFill>
        </w:rPr>
      </w:pPr>
      <w:r>
        <w:rPr>
          <w:rFonts w:hint="eastAsia" w:ascii="Times New Roman" w:hAnsi="Times New Roman" w:eastAsia="仿宋_GB2312" w:cs="仿宋_GB2312"/>
          <w:i w:val="0"/>
          <w:caps w:val="0"/>
          <w:color w:val="000000" w:themeColor="text1"/>
          <w:spacing w:val="0"/>
          <w:sz w:val="32"/>
          <w:szCs w:val="32"/>
          <w:lang w:eastAsia="zh-CN"/>
          <w14:textFill>
            <w14:solidFill>
              <w14:schemeClr w14:val="tx1"/>
            </w14:solidFill>
          </w14:textFill>
        </w:rPr>
        <w:t>本年度报告中所列数据的统计期限自202</w:t>
      </w:r>
      <w:r>
        <w:rPr>
          <w:rFonts w:hint="default" w:ascii="Times New Roman" w:hAnsi="Times New Roman" w:eastAsia="仿宋_GB2312" w:cs="仿宋_GB2312"/>
          <w:i w:val="0"/>
          <w:caps w:val="0"/>
          <w:color w:val="000000" w:themeColor="text1"/>
          <w:spacing w:val="0"/>
          <w:sz w:val="32"/>
          <w:szCs w:val="32"/>
          <w:lang w:val="en" w:eastAsia="zh-CN"/>
          <w14:textFill>
            <w14:solidFill>
              <w14:schemeClr w14:val="tx1"/>
            </w14:solidFill>
          </w14:textFill>
        </w:rPr>
        <w:t>5</w:t>
      </w:r>
      <w:r>
        <w:rPr>
          <w:rFonts w:hint="eastAsia" w:ascii="Times New Roman" w:hAnsi="Times New Roman" w:eastAsia="仿宋_GB2312" w:cs="仿宋_GB2312"/>
          <w:i w:val="0"/>
          <w:caps w:val="0"/>
          <w:color w:val="000000" w:themeColor="text1"/>
          <w:spacing w:val="0"/>
          <w:sz w:val="32"/>
          <w:szCs w:val="32"/>
          <w:lang w:eastAsia="zh-CN"/>
          <w14:textFill>
            <w14:solidFill>
              <w14:schemeClr w14:val="tx1"/>
            </w14:solidFill>
          </w14:textFill>
        </w:rPr>
        <w:t>年1月1日起，至202</w:t>
      </w:r>
      <w:r>
        <w:rPr>
          <w:rFonts w:hint="default" w:ascii="Times New Roman" w:hAnsi="Times New Roman" w:eastAsia="仿宋_GB2312" w:cs="仿宋_GB2312"/>
          <w:i w:val="0"/>
          <w:caps w:val="0"/>
          <w:color w:val="000000" w:themeColor="text1"/>
          <w:spacing w:val="0"/>
          <w:sz w:val="32"/>
          <w:szCs w:val="32"/>
          <w:lang w:val="en" w:eastAsia="zh-CN"/>
          <w14:textFill>
            <w14:solidFill>
              <w14:schemeClr w14:val="tx1"/>
            </w14:solidFill>
          </w14:textFill>
        </w:rPr>
        <w:t>5</w:t>
      </w:r>
      <w:r>
        <w:rPr>
          <w:rFonts w:hint="eastAsia" w:ascii="Times New Roman" w:hAnsi="Times New Roman" w:eastAsia="仿宋_GB2312" w:cs="仿宋_GB2312"/>
          <w:i w:val="0"/>
          <w:caps w:val="0"/>
          <w:color w:val="000000" w:themeColor="text1"/>
          <w:spacing w:val="0"/>
          <w:sz w:val="32"/>
          <w:szCs w:val="32"/>
          <w:lang w:eastAsia="zh-CN"/>
          <w14:textFill>
            <w14:solidFill>
              <w14:schemeClr w14:val="tx1"/>
            </w14:solidFill>
          </w14:textFill>
        </w:rPr>
        <w:t>年12月31日止。如对报告内容有疑问，请与</w:t>
      </w:r>
      <w:r>
        <w:rPr>
          <w:rFonts w:hint="eastAsia" w:ascii="Times New Roman" w:hAnsi="Times New Roman" w:eastAsia="仿宋_GB2312" w:cs="仿宋_GB2312"/>
          <w:i w:val="0"/>
          <w:caps w:val="0"/>
          <w:color w:val="000000" w:themeColor="text1"/>
          <w:spacing w:val="0"/>
          <w:sz w:val="32"/>
          <w:szCs w:val="32"/>
          <w:lang w:val="en-US" w:eastAsia="zh-CN"/>
          <w14:textFill>
            <w14:solidFill>
              <w14:schemeClr w14:val="tx1"/>
            </w14:solidFill>
          </w14:textFill>
        </w:rPr>
        <w:t>淄张店区金融运行监测额中心</w:t>
      </w:r>
      <w:r>
        <w:rPr>
          <w:rFonts w:hint="eastAsia" w:ascii="Times New Roman" w:hAnsi="Times New Roman" w:eastAsia="仿宋_GB2312" w:cs="仿宋_GB2312"/>
          <w:i w:val="0"/>
          <w:caps w:val="0"/>
          <w:color w:val="000000" w:themeColor="text1"/>
          <w:spacing w:val="0"/>
          <w:sz w:val="32"/>
          <w:szCs w:val="32"/>
          <w:lang w:eastAsia="zh-CN"/>
          <w14:textFill>
            <w14:solidFill>
              <w14:schemeClr w14:val="tx1"/>
            </w14:solidFill>
          </w14:textFill>
        </w:rPr>
        <w:t>联系（地址：</w:t>
      </w:r>
      <w:r>
        <w:rPr>
          <w:rFonts w:hint="eastAsia" w:ascii="Times New Roman" w:hAnsi="Times New Roman" w:eastAsia="仿宋_GB2312" w:cs="仿宋_GB2312"/>
          <w:color w:val="000000" w:themeColor="text1"/>
          <w:sz w:val="32"/>
          <w:szCs w:val="32"/>
          <w:shd w:val="clear" w:color="auto" w:fill="FFFFFF"/>
          <w14:textFill>
            <w14:solidFill>
              <w14:schemeClr w14:val="tx1"/>
            </w14:solidFill>
          </w14:textFill>
        </w:rPr>
        <w:t>张店区新村西路</w:t>
      </w:r>
      <w:r>
        <w:rPr>
          <w:rFonts w:hint="default" w:ascii="Times New Roman" w:hAnsi="Times New Roman" w:eastAsia="仿宋_GB2312" w:cs="Times New Roman"/>
          <w:color w:val="000000" w:themeColor="text1"/>
          <w:sz w:val="32"/>
          <w:szCs w:val="32"/>
          <w:shd w:val="clear" w:color="auto" w:fill="FFFFFF"/>
          <w14:textFill>
            <w14:solidFill>
              <w14:schemeClr w14:val="tx1"/>
            </w14:solidFill>
          </w14:textFill>
        </w:rPr>
        <w:t>226</w:t>
      </w:r>
      <w:r>
        <w:rPr>
          <w:rFonts w:hint="eastAsia" w:ascii="Times New Roman" w:hAnsi="Times New Roman" w:eastAsia="仿宋_GB2312" w:cs="仿宋_GB2312"/>
          <w:color w:val="000000" w:themeColor="text1"/>
          <w:sz w:val="32"/>
          <w:szCs w:val="32"/>
          <w:shd w:val="clear" w:color="auto" w:fill="FFFFFF"/>
          <w14:textFill>
            <w14:solidFill>
              <w14:schemeClr w14:val="tx1"/>
            </w14:solidFill>
          </w14:textFill>
        </w:rPr>
        <w:t>号区政务中心</w:t>
      </w:r>
      <w:r>
        <w:rPr>
          <w:rFonts w:hint="eastAsia" w:ascii="Times New Roman" w:hAnsi="Times New Roman" w:eastAsia="仿宋_GB2312" w:cs="仿宋_GB2312"/>
          <w:i w:val="0"/>
          <w:caps w:val="0"/>
          <w:color w:val="000000" w:themeColor="text1"/>
          <w:spacing w:val="0"/>
          <w:sz w:val="32"/>
          <w:szCs w:val="32"/>
          <w:lang w:eastAsia="zh-CN"/>
          <w14:textFill>
            <w14:solidFill>
              <w14:schemeClr w14:val="tx1"/>
            </w14:solidFill>
          </w14:textFill>
        </w:rPr>
        <w:t>；邮编：</w:t>
      </w:r>
      <w:r>
        <w:rPr>
          <w:rFonts w:hint="default" w:ascii="Times New Roman" w:hAnsi="Times New Roman" w:eastAsia="仿宋_GB2312" w:cs="Times New Roman"/>
          <w:color w:val="000000" w:themeColor="text1"/>
          <w:sz w:val="32"/>
          <w:szCs w:val="32"/>
          <w:shd w:val="clear" w:color="auto" w:fill="FFFFFF"/>
          <w14:textFill>
            <w14:solidFill>
              <w14:schemeClr w14:val="tx1"/>
            </w14:solidFill>
          </w14:textFill>
        </w:rPr>
        <w:t>255020</w:t>
      </w:r>
      <w:r>
        <w:rPr>
          <w:rFonts w:hint="eastAsia" w:ascii="Times New Roman" w:hAnsi="Times New Roman" w:eastAsia="仿宋_GB2312" w:cs="仿宋_GB2312"/>
          <w:i w:val="0"/>
          <w:caps w:val="0"/>
          <w:color w:val="000000" w:themeColor="text1"/>
          <w:spacing w:val="0"/>
          <w:sz w:val="32"/>
          <w:szCs w:val="32"/>
          <w:lang w:eastAsia="zh-CN"/>
          <w14:textFill>
            <w14:solidFill>
              <w14:schemeClr w14:val="tx1"/>
            </w14:solidFill>
          </w14:textFill>
        </w:rPr>
        <w:t>；电话：</w:t>
      </w:r>
      <w:r>
        <w:rPr>
          <w:rFonts w:hint="default" w:ascii="Times New Roman" w:hAnsi="Times New Roman" w:eastAsia="仿宋_GB2312" w:cs="Times New Roman"/>
          <w:color w:val="000000" w:themeColor="text1"/>
          <w:sz w:val="32"/>
          <w:szCs w:val="32"/>
          <w:shd w:val="clear" w:color="auto" w:fill="FFFFFF"/>
          <w14:textFill>
            <w14:solidFill>
              <w14:schemeClr w14:val="tx1"/>
            </w14:solidFill>
          </w14:textFill>
        </w:rPr>
        <w:t>0533-2861018</w:t>
      </w:r>
      <w:r>
        <w:rPr>
          <w:rFonts w:hint="eastAsia" w:ascii="Times New Roman" w:hAnsi="Times New Roman" w:eastAsia="仿宋_GB2312" w:cs="仿宋_GB2312"/>
          <w:i w:val="0"/>
          <w:caps w:val="0"/>
          <w:color w:val="000000" w:themeColor="text1"/>
          <w:spacing w:val="0"/>
          <w:sz w:val="32"/>
          <w:szCs w:val="32"/>
          <w:lang w:eastAsia="zh-CN"/>
          <w14:textFill>
            <w14:solidFill>
              <w14:schemeClr w14:val="tx1"/>
            </w14:solidFill>
          </w14:textFill>
        </w:rPr>
        <w:t>；电子邮箱：</w:t>
      </w:r>
      <w:r>
        <w:rPr>
          <w:rFonts w:hint="default" w:ascii="Times New Roman" w:hAnsi="Times New Roman" w:eastAsia="仿宋_GB2312" w:cs="Times New Roman"/>
          <w:i w:val="0"/>
          <w:caps w:val="0"/>
          <w:color w:val="000000" w:themeColor="text1"/>
          <w:spacing w:val="0"/>
          <w:sz w:val="32"/>
          <w:szCs w:val="32"/>
          <w:shd w:val="clear" w:fill="FFFFFF"/>
          <w14:textFill>
            <w14:solidFill>
              <w14:schemeClr w14:val="tx1"/>
            </w14:solidFill>
          </w14:textFill>
        </w:rPr>
        <w:t>zdqjrbzhk@zb.shandong.cn</w:t>
      </w:r>
      <w:r>
        <w:rPr>
          <w:rFonts w:hint="eastAsia" w:ascii="Times New Roman" w:hAnsi="Times New Roman" w:eastAsia="仿宋_GB2312" w:cs="仿宋_GB2312"/>
          <w:i w:val="0"/>
          <w:caps w:val="0"/>
          <w:color w:val="000000" w:themeColor="text1"/>
          <w:spacing w:val="0"/>
          <w:sz w:val="32"/>
          <w:szCs w:val="32"/>
          <w:lang w:eastAsia="zh-CN"/>
          <w14:textFill>
            <w14:solidFill>
              <w14:schemeClr w14:val="tx1"/>
            </w14:solidFill>
          </w14:textFill>
        </w:rPr>
        <w:t>）。</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leftChars="0" w:right="0" w:rightChars="0" w:firstLine="420"/>
        <w:jc w:val="both"/>
        <w:textAlignment w:val="auto"/>
        <w:outlineLvl w:val="9"/>
        <w:rPr>
          <w:rFonts w:hint="eastAsia" w:ascii="Times New Roman" w:hAnsi="Times New Roman" w:eastAsia="黑体" w:cs="黑体"/>
          <w:b w:val="0"/>
          <w:bCs/>
          <w:i w:val="0"/>
          <w:caps w:val="0"/>
          <w:color w:val="000000" w:themeColor="text1"/>
          <w:spacing w:val="0"/>
          <w:sz w:val="32"/>
          <w:szCs w:val="32"/>
          <w14:textFill>
            <w14:solidFill>
              <w14:schemeClr w14:val="tx1"/>
            </w14:solidFill>
          </w14:textFill>
        </w:rPr>
      </w:pPr>
      <w:r>
        <w:rPr>
          <w:rFonts w:hint="eastAsia" w:ascii="Times New Roman" w:hAnsi="Times New Roman" w:eastAsia="黑体" w:cs="黑体"/>
          <w:b w:val="0"/>
          <w:bCs/>
          <w:i w:val="0"/>
          <w:caps w:val="0"/>
          <w:color w:val="000000" w:themeColor="text1"/>
          <w:spacing w:val="0"/>
          <w:sz w:val="32"/>
          <w:szCs w:val="32"/>
          <w:shd w:val="clear" w:fill="FFFFFF"/>
          <w14:textFill>
            <w14:solidFill>
              <w14:schemeClr w14:val="tx1"/>
            </w14:solidFill>
          </w14:textFill>
        </w:rPr>
        <w:t>一、总体情况</w:t>
      </w:r>
    </w:p>
    <w:p>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Times New Roman" w:hAnsi="Times New Roman" w:eastAsia="仿宋_GB2312" w:cs="仿宋_GB2312"/>
          <w:color w:val="000000" w:themeColor="text1"/>
          <w:sz w:val="32"/>
          <w:szCs w:val="32"/>
          <w:lang w:val="en-US" w:eastAsia="zh-CN"/>
          <w14:textFill>
            <w14:solidFill>
              <w14:schemeClr w14:val="tx1"/>
            </w14:solidFill>
          </w14:textFill>
        </w:rPr>
      </w:pP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2025年，我单位坚持以习近平新时代中国特色社会主义思想为指导，深入学习贯彻党的二十大和二十届历次全会精神，围绕工作重点，落实《中华人民共和国政府信息公开条例》要求，加强组织领导，积极推进政府信息公开工作的组织建设、制度建设和平台建设，提高政府工作透明度，保障公众知情权。</w:t>
      </w:r>
    </w:p>
    <w:p>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643" w:firstLineChars="200"/>
        <w:textAlignment w:val="auto"/>
        <w:outlineLvl w:val="9"/>
        <w:rPr>
          <w:rFonts w:hint="eastAsia" w:ascii="Times New Roman" w:hAnsi="Times New Roman" w:eastAsia="仿宋_GB2312" w:cs="仿宋_GB2312"/>
          <w:b w:val="0"/>
          <w:bCs w:val="0"/>
          <w:color w:val="000000" w:themeColor="text1"/>
          <w:sz w:val="32"/>
          <w:szCs w:val="32"/>
          <w14:textFill>
            <w14:solidFill>
              <w14:schemeClr w14:val="tx1"/>
            </w14:solidFill>
          </w14:textFill>
        </w:rPr>
      </w:pPr>
      <w:r>
        <w:rPr>
          <w:rFonts w:hint="eastAsia" w:ascii="Times New Roman" w:hAnsi="Times New Roman" w:eastAsia="仿宋_GB2312" w:cs="仿宋_GB2312"/>
          <w:b/>
          <w:bCs/>
          <w:color w:val="000000" w:themeColor="text1"/>
          <w:sz w:val="32"/>
          <w:szCs w:val="32"/>
          <w:lang w:val="en-US" w:eastAsia="zh-CN"/>
          <w14:textFill>
            <w14:solidFill>
              <w14:schemeClr w14:val="tx1"/>
            </w14:solidFill>
          </w14:textFill>
        </w:rPr>
        <w:t>（一）主动公开方面。</w:t>
      </w:r>
      <w:r>
        <w:rPr>
          <w:rFonts w:hint="eastAsia" w:ascii="Times New Roman" w:hAnsi="Times New Roman" w:eastAsia="仿宋_GB2312" w:cs="仿宋_GB2312"/>
          <w:b w:val="0"/>
          <w:bCs w:val="0"/>
          <w:color w:val="000000" w:themeColor="text1"/>
          <w:sz w:val="32"/>
          <w:szCs w:val="32"/>
          <w:lang w:val="en-US" w:eastAsia="zh-CN"/>
          <w14:textFill>
            <w14:solidFill>
              <w14:schemeClr w14:val="tx1"/>
            </w14:solidFill>
          </w14:textFill>
        </w:rPr>
        <w:t>2025年主动公开的信息主要包括：在政府信息公开网站公开2024年财政决算2条，2025年财政预算2条；业务动态14条；建议提案信息3条；政策解读4条；重点领域信息公开13条；重大决策预公开2条；人事任免信息4条；政府公开保障机制信息4条；政府开放日信息1条；更新领导信息、机构职能、履职依据、政府信息公开指南等。合计以上所述，2025年度公开发布信息共56条。切实保障人民群众的知情权、参与权、监督权和表达权。</w:t>
      </w:r>
    </w:p>
    <w:p>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643" w:firstLineChars="200"/>
        <w:textAlignment w:val="auto"/>
        <w:outlineLvl w:val="9"/>
        <w:rPr>
          <w:rFonts w:hint="eastAsia" w:ascii="Times New Roman" w:hAnsi="Times New Roman" w:eastAsia="仿宋_GB2312" w:cs="仿宋_GB2312"/>
          <w:b/>
          <w:bCs/>
          <w:color w:val="000000" w:themeColor="text1"/>
          <w:sz w:val="32"/>
          <w:szCs w:val="32"/>
          <w:lang w:val="en-US" w:eastAsia="zh-CN"/>
          <w14:textFill>
            <w14:solidFill>
              <w14:schemeClr w14:val="tx1"/>
            </w14:solidFill>
          </w14:textFill>
        </w:rPr>
      </w:pPr>
      <w:r>
        <w:rPr>
          <w:rFonts w:hint="eastAsia" w:ascii="Times New Roman" w:hAnsi="Times New Roman" w:eastAsia="仿宋_GB2312" w:cs="仿宋_GB2312"/>
          <w:b/>
          <w:bCs/>
          <w:color w:val="000000" w:themeColor="text1"/>
          <w:sz w:val="32"/>
          <w:szCs w:val="32"/>
          <w:lang w:val="en-US" w:eastAsia="zh-CN"/>
          <w14:textFill>
            <w14:solidFill>
              <w14:schemeClr w14:val="tx1"/>
            </w14:solidFill>
          </w14:textFill>
        </w:rPr>
        <w:t>（二）依申请公开工作方面。</w:t>
      </w:r>
      <w:r>
        <w:rPr>
          <w:rFonts w:hint="eastAsia" w:ascii="Times New Roman" w:hAnsi="Times New Roman" w:eastAsia="仿宋_GB2312" w:cs="仿宋_GB2312"/>
          <w:b w:val="0"/>
          <w:bCs w:val="0"/>
          <w:color w:val="000000" w:themeColor="text1"/>
          <w:sz w:val="32"/>
          <w:szCs w:val="32"/>
          <w:lang w:val="en-US" w:eastAsia="zh-CN"/>
          <w14:textFill>
            <w14:solidFill>
              <w14:schemeClr w14:val="tx1"/>
            </w14:solidFill>
          </w14:textFill>
        </w:rPr>
        <w:t>2025年度我单位未收到相关政府信息公开申请，所有政府信息公开均为主动公开，</w:t>
      </w:r>
      <w:r>
        <w:rPr>
          <w:rFonts w:hint="eastAsia" w:ascii="Times New Roman" w:hAnsi="Times New Roman" w:eastAsia="仿宋_GB2312" w:cs="仿宋_GB2312"/>
          <w:color w:val="000000" w:themeColor="text1"/>
          <w:sz w:val="32"/>
          <w:szCs w:val="32"/>
          <w:lang w:eastAsia="zh-CN"/>
          <w14:textFill>
            <w14:solidFill>
              <w14:schemeClr w14:val="tx1"/>
            </w14:solidFill>
          </w14:textFill>
        </w:rPr>
        <w:t>与往年相比数量无增减变化</w:t>
      </w:r>
      <w:r>
        <w:rPr>
          <w:rFonts w:hint="eastAsia" w:ascii="Times New Roman" w:hAnsi="Times New Roman" w:eastAsia="仿宋_GB2312" w:cs="仿宋_GB2312"/>
          <w:b w:val="0"/>
          <w:bCs w:val="0"/>
          <w:color w:val="000000" w:themeColor="text1"/>
          <w:sz w:val="32"/>
          <w:szCs w:val="32"/>
          <w:lang w:val="en-US" w:eastAsia="zh-CN"/>
          <w14:textFill>
            <w14:solidFill>
              <w14:schemeClr w14:val="tx1"/>
            </w14:solidFill>
          </w14:textFill>
        </w:rPr>
        <w:t>。</w:t>
      </w:r>
    </w:p>
    <w:p>
      <w:pPr>
        <w:keepNext w:val="0"/>
        <w:keepLines w:val="0"/>
        <w:pageBreakBefore w:val="0"/>
        <w:widowControl/>
        <w:suppressLineNumbers w:val="0"/>
        <w:kinsoku/>
        <w:overflowPunct/>
        <w:topLinePunct w:val="0"/>
        <w:autoSpaceDE/>
        <w:autoSpaceDN/>
        <w:bidi w:val="0"/>
        <w:adjustRightInd/>
        <w:snapToGrid/>
        <w:spacing w:line="560" w:lineRule="exact"/>
        <w:ind w:left="0" w:leftChars="0" w:right="0" w:rightChars="0" w:firstLine="643" w:firstLineChars="200"/>
        <w:jc w:val="left"/>
        <w:textAlignment w:val="auto"/>
        <w:outlineLvl w:val="9"/>
        <w:rPr>
          <w:rFonts w:hint="eastAsia" w:ascii="Times New Roman" w:hAnsi="Times New Roman" w:eastAsia="仿宋_GB2312" w:cs="仿宋_GB2312"/>
          <w:color w:val="000000" w:themeColor="text1"/>
          <w:sz w:val="32"/>
          <w:szCs w:val="32"/>
          <w:lang w:eastAsia="zh-CN"/>
          <w14:textFill>
            <w14:solidFill>
              <w14:schemeClr w14:val="tx1"/>
            </w14:solidFill>
          </w14:textFill>
        </w:rPr>
      </w:pPr>
      <w:r>
        <w:rPr>
          <w:rFonts w:hint="eastAsia" w:ascii="Times New Roman" w:hAnsi="Times New Roman" w:eastAsia="仿宋_GB2312" w:cs="仿宋_GB2312"/>
          <w:b/>
          <w:bCs/>
          <w:color w:val="000000" w:themeColor="text1"/>
          <w:sz w:val="32"/>
          <w:szCs w:val="32"/>
          <w:lang w:val="en-US" w:eastAsia="zh-CN"/>
          <w14:textFill>
            <w14:solidFill>
              <w14:schemeClr w14:val="tx1"/>
            </w14:solidFill>
          </w14:textFill>
        </w:rPr>
        <w:t>（三）政府信息管理方面。</w:t>
      </w:r>
      <w:r>
        <w:rPr>
          <w:rFonts w:ascii="Times New Roman" w:hAnsi="Times New Roman" w:eastAsia="仿宋_GB2312" w:cs="仿宋_GB2312"/>
          <w:color w:val="000000" w:themeColor="text1"/>
          <w:kern w:val="0"/>
          <w:sz w:val="31"/>
          <w:szCs w:val="31"/>
          <w:lang w:val="en-US" w:eastAsia="zh-CN" w:bidi="ar"/>
          <w14:textFill>
            <w14:solidFill>
              <w14:schemeClr w14:val="tx1"/>
            </w14:solidFill>
          </w14:textFill>
        </w:rPr>
        <w:t>严</w:t>
      </w:r>
      <w:r>
        <w:rPr>
          <w:rFonts w:hint="eastAsia" w:ascii="Times New Roman" w:hAnsi="Times New Roman" w:eastAsia="仿宋_GB2312" w:cs="仿宋_GB2312"/>
          <w:color w:val="000000" w:themeColor="text1"/>
          <w:kern w:val="0"/>
          <w:sz w:val="31"/>
          <w:szCs w:val="31"/>
          <w:lang w:val="en-US" w:eastAsia="zh-CN" w:bidi="ar"/>
          <w14:textFill>
            <w14:solidFill>
              <w14:schemeClr w14:val="tx1"/>
            </w14:solidFill>
          </w14:textFill>
        </w:rPr>
        <w:t>格执行信息发布审批制度，</w:t>
      </w:r>
      <w:r>
        <w:rPr>
          <w:rFonts w:hint="eastAsia" w:ascii="Times New Roman" w:hAnsi="Times New Roman" w:eastAsia="仿宋_GB2312" w:cs="仿宋_GB2312"/>
          <w:color w:val="000000" w:themeColor="text1"/>
          <w:sz w:val="32"/>
          <w:szCs w:val="32"/>
          <w:lang w:eastAsia="zh-CN"/>
          <w14:textFill>
            <w14:solidFill>
              <w14:schemeClr w14:val="tx1"/>
            </w14:solidFill>
          </w14:textFill>
        </w:rPr>
        <w:t>明确职责及分工，遵循“公开为常态，不公开为例外”的原则，严格执行“谁公开、谁审查、谁负责”“一事一审”等政府信息公开审查规定，确保法定公开事项公开到位。</w:t>
      </w:r>
    </w:p>
    <w:p>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643" w:firstLineChars="200"/>
        <w:textAlignment w:val="auto"/>
        <w:outlineLvl w:val="9"/>
        <w:rPr>
          <w:rFonts w:hint="eastAsia" w:ascii="Times New Roman" w:hAnsi="Times New Roman" w:eastAsia="仿宋_GB2312" w:cs="仿宋_GB2312"/>
          <w:b w:val="0"/>
          <w:bCs w:val="0"/>
          <w:color w:val="000000" w:themeColor="text1"/>
          <w:sz w:val="32"/>
          <w:szCs w:val="32"/>
          <w:lang w:val="en-US" w:eastAsia="zh-CN"/>
          <w14:textFill>
            <w14:solidFill>
              <w14:schemeClr w14:val="tx1"/>
            </w14:solidFill>
          </w14:textFill>
        </w:rPr>
      </w:pPr>
      <w:r>
        <w:rPr>
          <w:rFonts w:hint="eastAsia" w:ascii="Times New Roman" w:hAnsi="Times New Roman" w:eastAsia="仿宋_GB2312" w:cs="仿宋_GB2312"/>
          <w:b/>
          <w:bCs/>
          <w:color w:val="000000" w:themeColor="text1"/>
          <w:sz w:val="32"/>
          <w:szCs w:val="32"/>
          <w:lang w:val="en-US" w:eastAsia="zh-CN"/>
          <w14:textFill>
            <w14:solidFill>
              <w14:schemeClr w14:val="tx1"/>
            </w14:solidFill>
          </w14:textFill>
        </w:rPr>
        <w:t>（四）政府信息公开平台建设方面。</w:t>
      </w:r>
      <w:r>
        <w:rPr>
          <w:rFonts w:hint="eastAsia" w:ascii="Times New Roman" w:hAnsi="Times New Roman" w:eastAsia="仿宋_GB2312" w:cs="仿宋_GB2312"/>
          <w:b w:val="0"/>
          <w:bCs w:val="0"/>
          <w:color w:val="000000" w:themeColor="text1"/>
          <w:sz w:val="32"/>
          <w:szCs w:val="32"/>
          <w:lang w:val="en-US" w:eastAsia="zh-CN"/>
          <w14:textFill>
            <w14:solidFill>
              <w14:schemeClr w14:val="tx1"/>
            </w14:solidFill>
          </w14:textFill>
        </w:rPr>
        <w:t>张店区金融运行监测中心通过张店区人民政府信息公开网站进行公开，对发布内容和运行管理等均作出明确要求，有效提高政府信息公开工作的及时性和有效性。</w:t>
      </w:r>
    </w:p>
    <w:p>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643" w:firstLineChars="200"/>
        <w:textAlignment w:val="auto"/>
        <w:outlineLvl w:val="9"/>
        <w:rPr>
          <w:rFonts w:hint="eastAsia" w:ascii="Times New Roman" w:hAnsi="Times New Roman" w:eastAsia="仿宋_GB2312" w:cs="仿宋_GB2312"/>
          <w:b w:val="0"/>
          <w:bCs w:val="0"/>
          <w:color w:val="000000" w:themeColor="text1"/>
          <w:sz w:val="32"/>
          <w:szCs w:val="32"/>
          <w:lang w:val="en-US" w:eastAsia="zh-CN"/>
          <w14:textFill>
            <w14:solidFill>
              <w14:schemeClr w14:val="tx1"/>
            </w14:solidFill>
          </w14:textFill>
        </w:rPr>
      </w:pPr>
      <w:r>
        <w:rPr>
          <w:rFonts w:hint="eastAsia" w:ascii="Times New Roman" w:hAnsi="Times New Roman" w:eastAsia="仿宋_GB2312" w:cs="仿宋_GB2312"/>
          <w:b/>
          <w:bCs/>
          <w:color w:val="000000" w:themeColor="text1"/>
          <w:sz w:val="32"/>
          <w:szCs w:val="32"/>
          <w:lang w:val="en-US" w:eastAsia="zh-CN"/>
          <w14:textFill>
            <w14:solidFill>
              <w14:schemeClr w14:val="tx1"/>
            </w14:solidFill>
          </w14:textFill>
        </w:rPr>
        <w:t>（五）监督保障方面。</w:t>
      </w:r>
      <w:r>
        <w:rPr>
          <w:rFonts w:hint="eastAsia" w:ascii="Times New Roman" w:hAnsi="Times New Roman" w:eastAsia="仿宋_GB2312" w:cs="仿宋_GB2312"/>
          <w:b w:val="0"/>
          <w:bCs w:val="0"/>
          <w:color w:val="000000" w:themeColor="text1"/>
          <w:sz w:val="32"/>
          <w:szCs w:val="32"/>
          <w:lang w:val="en-US" w:eastAsia="zh-CN"/>
          <w14:textFill>
            <w14:solidFill>
              <w14:schemeClr w14:val="tx1"/>
            </w14:solidFill>
          </w14:textFill>
        </w:rPr>
        <w:t>认真落实信息公开相关工作规定，依法履行政府信息公开职能，加强政务公开人员配备，</w:t>
      </w:r>
      <w:r>
        <w:rPr>
          <w:rFonts w:hint="eastAsia" w:ascii="Times New Roman" w:hAnsi="Times New Roman" w:eastAsia="仿宋_GB2312"/>
          <w:color w:val="000000" w:themeColor="text1"/>
          <w:sz w:val="32"/>
          <w:szCs w:val="32"/>
          <w:lang w:eastAsia="zh-CN"/>
          <w14:textFill>
            <w14:solidFill>
              <w14:schemeClr w14:val="tx1"/>
            </w14:solidFill>
          </w14:textFill>
        </w:rPr>
        <w:t>成立</w:t>
      </w:r>
      <w:r>
        <w:rPr>
          <w:rFonts w:hint="eastAsia" w:ascii="Times New Roman" w:hAnsi="Times New Roman" w:eastAsia="仿宋_GB2312"/>
          <w:color w:val="000000" w:themeColor="text1"/>
          <w:sz w:val="32"/>
          <w:szCs w:val="32"/>
          <w:lang w:val="en-US" w:eastAsia="zh-CN"/>
          <w14:textFill>
            <w14:solidFill>
              <w14:schemeClr w14:val="tx1"/>
            </w14:solidFill>
          </w14:textFill>
        </w:rPr>
        <w:t>张店</w:t>
      </w:r>
      <w:r>
        <w:rPr>
          <w:rFonts w:hint="eastAsia" w:ascii="Times New Roman" w:hAnsi="Times New Roman" w:eastAsia="仿宋_GB2312"/>
          <w:color w:val="000000" w:themeColor="text1"/>
          <w:sz w:val="32"/>
          <w:szCs w:val="32"/>
          <w14:textFill>
            <w14:solidFill>
              <w14:schemeClr w14:val="tx1"/>
            </w14:solidFill>
          </w14:textFill>
        </w:rPr>
        <w:t>区</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金融运行监测中心</w:t>
      </w:r>
      <w:r>
        <w:rPr>
          <w:rFonts w:hint="eastAsia" w:ascii="Times New Roman" w:hAnsi="Times New Roman" w:eastAsia="仿宋_GB2312" w:cs="仿宋_GB2312"/>
          <w:b w:val="0"/>
          <w:bCs w:val="0"/>
          <w:color w:val="000000" w:themeColor="text1"/>
          <w:sz w:val="32"/>
          <w:szCs w:val="32"/>
          <w:lang w:val="en-US" w:eastAsia="zh-CN"/>
          <w14:textFill>
            <w14:solidFill>
              <w14:schemeClr w14:val="tx1"/>
            </w14:solidFill>
          </w14:textFill>
        </w:rPr>
        <w:t>政府信息公开工作领导小组，</w:t>
      </w:r>
      <w:r>
        <w:rPr>
          <w:rFonts w:hint="eastAsia" w:ascii="Times New Roman" w:hAnsi="Times New Roman" w:eastAsia="仿宋_GB2312"/>
          <w:color w:val="000000" w:themeColor="text1"/>
          <w:sz w:val="32"/>
          <w:szCs w:val="32"/>
          <w:lang w:eastAsia="zh-CN"/>
          <w14:textFill>
            <w14:solidFill>
              <w14:schemeClr w14:val="tx1"/>
            </w14:solidFill>
          </w14:textFill>
        </w:rPr>
        <w:t>具体负责</w:t>
      </w:r>
      <w:r>
        <w:rPr>
          <w:rFonts w:hint="eastAsia" w:ascii="Times New Roman" w:hAnsi="Times New Roman" w:eastAsia="仿宋_GB2312"/>
          <w:color w:val="000000" w:themeColor="text1"/>
          <w:sz w:val="32"/>
          <w:szCs w:val="32"/>
          <w14:textFill>
            <w14:solidFill>
              <w14:schemeClr w14:val="tx1"/>
            </w14:solidFill>
          </w14:textFill>
        </w:rPr>
        <w:t>指导</w:t>
      </w:r>
      <w:r>
        <w:rPr>
          <w:rFonts w:hint="eastAsia" w:ascii="Times New Roman" w:hAnsi="Times New Roman" w:eastAsia="仿宋_GB2312" w:cs="仿宋_GB2312"/>
          <w:b w:val="0"/>
          <w:bCs w:val="0"/>
          <w:color w:val="000000" w:themeColor="text1"/>
          <w:sz w:val="32"/>
          <w:szCs w:val="32"/>
          <w:lang w:val="en-US" w:eastAsia="zh-CN"/>
          <w14:textFill>
            <w14:solidFill>
              <w14:schemeClr w14:val="tx1"/>
            </w14:solidFill>
          </w14:textFill>
        </w:rPr>
        <w:t>政府</w:t>
      </w:r>
      <w:r>
        <w:rPr>
          <w:rFonts w:hint="eastAsia" w:ascii="Times New Roman" w:hAnsi="Times New Roman" w:eastAsia="仿宋_GB2312"/>
          <w:color w:val="000000" w:themeColor="text1"/>
          <w:sz w:val="32"/>
          <w:szCs w:val="32"/>
          <w:lang w:val="en-US" w:eastAsia="zh-CN"/>
          <w14:textFill>
            <w14:solidFill>
              <w14:schemeClr w14:val="tx1"/>
            </w14:solidFill>
          </w14:textFill>
        </w:rPr>
        <w:t>信息公开</w:t>
      </w:r>
      <w:r>
        <w:rPr>
          <w:rFonts w:hint="eastAsia" w:ascii="Times New Roman" w:hAnsi="Times New Roman" w:eastAsia="仿宋_GB2312"/>
          <w:color w:val="000000" w:themeColor="text1"/>
          <w:sz w:val="32"/>
          <w:szCs w:val="32"/>
          <w14:textFill>
            <w14:solidFill>
              <w14:schemeClr w14:val="tx1"/>
            </w14:solidFill>
          </w14:textFill>
        </w:rPr>
        <w:t>和培训工作</w:t>
      </w:r>
      <w:r>
        <w:rPr>
          <w:rFonts w:hint="eastAsia" w:ascii="Times New Roman" w:hAnsi="Times New Roman" w:eastAsia="仿宋_GB2312" w:cs="仿宋_GB2312"/>
          <w:b w:val="0"/>
          <w:bCs w:val="0"/>
          <w:color w:val="000000" w:themeColor="text1"/>
          <w:sz w:val="32"/>
          <w:szCs w:val="32"/>
          <w:lang w:val="en-US" w:eastAsia="zh-CN"/>
          <w14:textFill>
            <w14:solidFill>
              <w14:schemeClr w14:val="tx1"/>
            </w14:solidFill>
          </w14:textFill>
        </w:rPr>
        <w:t>。2025年8月21日，张店区金融运行监测中心举办政务公开工作会议，切实将政务公开工作纳入整体工作中，与业务工作同部署、同推进，</w:t>
      </w:r>
      <w:bookmarkStart w:id="0" w:name="_GoBack"/>
      <w:bookmarkEnd w:id="0"/>
      <w:r>
        <w:rPr>
          <w:rFonts w:hint="eastAsia" w:ascii="Times New Roman" w:hAnsi="Times New Roman" w:eastAsia="仿宋_GB2312" w:cs="仿宋_GB2312"/>
          <w:b w:val="0"/>
          <w:bCs w:val="0"/>
          <w:color w:val="000000" w:themeColor="text1"/>
          <w:sz w:val="32"/>
          <w:szCs w:val="32"/>
          <w:lang w:val="en-US" w:eastAsia="zh-CN"/>
          <w14:textFill>
            <w14:solidFill>
              <w14:schemeClr w14:val="tx1"/>
            </w14:solidFill>
          </w14:textFill>
        </w:rPr>
        <w:t>以高质量政务公开推动金融事业高质量发展。</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ind w:left="0" w:right="0" w:firstLine="420"/>
        <w:jc w:val="both"/>
        <w:textAlignment w:val="auto"/>
        <w:rPr>
          <w:rFonts w:hint="eastAsia" w:ascii="Times New Roman" w:hAnsi="Times New Roman" w:eastAsia="黑体" w:cs="黑体"/>
          <w:b w:val="0"/>
          <w:bCs/>
          <w:i w:val="0"/>
          <w:caps w:val="0"/>
          <w:color w:val="000000" w:themeColor="text1"/>
          <w:spacing w:val="0"/>
          <w:sz w:val="32"/>
          <w:szCs w:val="32"/>
          <w:shd w:val="clear" w:fill="FFFFFF"/>
          <w14:textFill>
            <w14:solidFill>
              <w14:schemeClr w14:val="tx1"/>
            </w14:solidFill>
          </w14:textFill>
        </w:rPr>
      </w:pPr>
      <w:r>
        <w:rPr>
          <w:rFonts w:hint="eastAsia" w:ascii="Times New Roman" w:hAnsi="Times New Roman" w:eastAsia="黑体" w:cs="黑体"/>
          <w:b w:val="0"/>
          <w:bCs/>
          <w:i w:val="0"/>
          <w:caps w:val="0"/>
          <w:color w:val="000000" w:themeColor="text1"/>
          <w:spacing w:val="0"/>
          <w:sz w:val="32"/>
          <w:szCs w:val="32"/>
          <w:shd w:val="clear" w:fill="FFFFFF"/>
          <w14:textFill>
            <w14:solidFill>
              <w14:schemeClr w14:val="tx1"/>
            </w14:solidFill>
          </w14:textFill>
        </w:rPr>
        <w:t>二、主动公开政府信息情况</w:t>
      </w:r>
    </w:p>
    <w:tbl>
      <w:tblPr>
        <w:tblStyle w:val="10"/>
        <w:tblW w:w="9780"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445"/>
        <w:gridCol w:w="2445"/>
        <w:gridCol w:w="2445"/>
        <w:gridCol w:w="24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2" w:hRule="atLeast"/>
          <w:jc w:val="center"/>
        </w:trPr>
        <w:tc>
          <w:tcPr>
            <w:tcW w:w="9780" w:type="dxa"/>
            <w:gridSpan w:val="4"/>
            <w:tcBorders>
              <w:top w:val="single" w:color="auto" w:sz="8" w:space="0"/>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2" w:hRule="atLeast"/>
          <w:jc w:val="center"/>
        </w:trPr>
        <w:tc>
          <w:tcPr>
            <w:tcW w:w="244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信息内容</w:t>
            </w:r>
          </w:p>
        </w:tc>
        <w:tc>
          <w:tcPr>
            <w:tcW w:w="244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本年制发件数</w:t>
            </w:r>
          </w:p>
        </w:tc>
        <w:tc>
          <w:tcPr>
            <w:tcW w:w="244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本年废止件数</w:t>
            </w:r>
          </w:p>
        </w:tc>
        <w:tc>
          <w:tcPr>
            <w:tcW w:w="244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现行有效件数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55" w:hRule="atLeast"/>
          <w:jc w:val="center"/>
        </w:trPr>
        <w:tc>
          <w:tcPr>
            <w:tcW w:w="244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规章</w:t>
            </w:r>
          </w:p>
        </w:tc>
        <w:tc>
          <w:tcPr>
            <w:tcW w:w="244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宋体"/>
                <w:color w:val="000000" w:themeColor="text1"/>
                <w:kern w:val="0"/>
                <w:sz w:val="21"/>
                <w:szCs w:val="21"/>
                <w:lang w:val="en-US" w:eastAsia="zh-CN" w:bidi="ar-SA"/>
                <w14:textFill>
                  <w14:solidFill>
                    <w14:schemeClr w14:val="tx1"/>
                  </w14:solidFill>
                </w14:textFill>
              </w:rPr>
            </w:pPr>
            <w:r>
              <w:rPr>
                <w:rFonts w:hint="eastAsia" w:ascii="Times New Roman" w:hAnsi="Times New Roman" w:eastAsia="仿宋_GB2312" w:cs="宋体"/>
                <w:color w:val="000000" w:themeColor="text1"/>
                <w:kern w:val="0"/>
                <w:szCs w:val="21"/>
                <w:lang w:val="en-US" w:eastAsia="zh-CN"/>
                <w14:textFill>
                  <w14:solidFill>
                    <w14:schemeClr w14:val="tx1"/>
                  </w14:solidFill>
                </w14:textFill>
              </w:rPr>
              <w:t>0</w:t>
            </w:r>
          </w:p>
        </w:tc>
        <w:tc>
          <w:tcPr>
            <w:tcW w:w="244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仿宋_GB2312" w:cs="宋体"/>
                <w:color w:val="000000" w:themeColor="text1"/>
                <w:kern w:val="0"/>
                <w:sz w:val="21"/>
                <w:szCs w:val="21"/>
                <w:lang w:val="en-US" w:eastAsia="zh-CN" w:bidi="ar-SA"/>
                <w14:textFill>
                  <w14:solidFill>
                    <w14:schemeClr w14:val="tx1"/>
                  </w14:solidFill>
                </w14:textFill>
              </w:rPr>
            </w:pPr>
            <w:r>
              <w:rPr>
                <w:rFonts w:hint="eastAsia" w:ascii="Times New Roman" w:hAnsi="Times New Roman" w:eastAsia="仿宋_GB2312" w:cs="宋体"/>
                <w:color w:val="000000" w:themeColor="text1"/>
                <w:kern w:val="0"/>
                <w:szCs w:val="21"/>
                <w:lang w:val="en-US" w:eastAsia="zh-CN"/>
                <w14:textFill>
                  <w14:solidFill>
                    <w14:schemeClr w14:val="tx1"/>
                  </w14:solidFill>
                </w14:textFill>
              </w:rPr>
              <w:t>0</w:t>
            </w:r>
          </w:p>
        </w:tc>
        <w:tc>
          <w:tcPr>
            <w:tcW w:w="244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Calibri"/>
                <w:color w:val="000000" w:themeColor="text1"/>
                <w:kern w:val="0"/>
                <w:sz w:val="21"/>
                <w:szCs w:val="21"/>
                <w:lang w:val="en-US" w:eastAsia="zh-CN" w:bidi="ar-SA"/>
                <w14:textFill>
                  <w14:solidFill>
                    <w14:schemeClr w14:val="tx1"/>
                  </w14:solidFill>
                </w14:textFill>
              </w:rPr>
            </w:pPr>
            <w:r>
              <w:rPr>
                <w:rFonts w:hint="eastAsia" w:ascii="Times New Roman" w:hAnsi="Times New Roman" w:eastAsia="仿宋_GB2312" w:cs="宋体"/>
                <w:color w:val="000000" w:themeColor="text1"/>
                <w:kern w:val="0"/>
                <w:szCs w:val="21"/>
                <w:lang w:val="en-US" w:eastAsia="zh-CN"/>
                <w14:textFill>
                  <w14:solidFill>
                    <w14:schemeClr w14:val="tx1"/>
                  </w14:solidFill>
                </w14:textFil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55" w:hRule="atLeast"/>
          <w:jc w:val="center"/>
        </w:trPr>
        <w:tc>
          <w:tcPr>
            <w:tcW w:w="244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行政规范性文件</w:t>
            </w:r>
          </w:p>
        </w:tc>
        <w:tc>
          <w:tcPr>
            <w:tcW w:w="244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宋体"/>
                <w:color w:val="000000" w:themeColor="text1"/>
                <w:kern w:val="0"/>
                <w:sz w:val="21"/>
                <w:szCs w:val="21"/>
                <w:lang w:val="en-US" w:eastAsia="zh-CN" w:bidi="ar-SA"/>
                <w14:textFill>
                  <w14:solidFill>
                    <w14:schemeClr w14:val="tx1"/>
                  </w14:solidFill>
                </w14:textFill>
              </w:rPr>
            </w:pPr>
            <w:r>
              <w:rPr>
                <w:rFonts w:hint="eastAsia" w:ascii="Times New Roman" w:hAnsi="Times New Roman" w:eastAsia="仿宋_GB2312" w:cs="宋体"/>
                <w:color w:val="000000" w:themeColor="text1"/>
                <w:kern w:val="0"/>
                <w:szCs w:val="21"/>
                <w:lang w:val="en-US" w:eastAsia="zh-CN"/>
                <w14:textFill>
                  <w14:solidFill>
                    <w14:schemeClr w14:val="tx1"/>
                  </w14:solidFill>
                </w14:textFill>
              </w:rPr>
              <w:t>0</w:t>
            </w:r>
          </w:p>
        </w:tc>
        <w:tc>
          <w:tcPr>
            <w:tcW w:w="244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hint="default" w:ascii="Times New Roman" w:hAnsi="Times New Roman" w:eastAsia="仿宋_GB2312" w:cs="宋体"/>
                <w:color w:val="000000" w:themeColor="text1"/>
                <w:kern w:val="0"/>
                <w:sz w:val="21"/>
                <w:szCs w:val="21"/>
                <w:lang w:val="en-US" w:eastAsia="zh-CN" w:bidi="ar-SA"/>
                <w14:textFill>
                  <w14:solidFill>
                    <w14:schemeClr w14:val="tx1"/>
                  </w14:solidFill>
                </w14:textFill>
              </w:rPr>
            </w:pPr>
            <w:r>
              <w:rPr>
                <w:rFonts w:hint="eastAsia" w:ascii="Times New Roman" w:hAnsi="Times New Roman" w:eastAsia="仿宋_GB2312" w:cs="宋体"/>
                <w:color w:val="000000" w:themeColor="text1"/>
                <w:kern w:val="0"/>
                <w:szCs w:val="21"/>
                <w:lang w:val="en-US" w:eastAsia="zh-CN"/>
                <w14:textFill>
                  <w14:solidFill>
                    <w14:schemeClr w14:val="tx1"/>
                  </w14:solidFill>
                </w14:textFill>
              </w:rPr>
              <w:t>0</w:t>
            </w:r>
          </w:p>
        </w:tc>
        <w:tc>
          <w:tcPr>
            <w:tcW w:w="244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宋体"/>
                <w:color w:val="000000" w:themeColor="text1"/>
                <w:kern w:val="0"/>
                <w:sz w:val="21"/>
                <w:szCs w:val="21"/>
                <w:lang w:val="en-US" w:eastAsia="zh-CN" w:bidi="ar-SA"/>
                <w14:textFill>
                  <w14:solidFill>
                    <w14:schemeClr w14:val="tx1"/>
                  </w14:solidFill>
                </w14:textFill>
              </w:rPr>
            </w:pPr>
            <w:r>
              <w:rPr>
                <w:rFonts w:hint="eastAsia" w:ascii="Times New Roman" w:hAnsi="Times New Roman" w:eastAsia="仿宋_GB2312" w:cs="宋体"/>
                <w:color w:val="000000" w:themeColor="text1"/>
                <w:kern w:val="0"/>
                <w:szCs w:val="21"/>
                <w:lang w:val="en-US" w:eastAsia="zh-CN"/>
                <w14:textFill>
                  <w14:solidFill>
                    <w14:schemeClr w14:val="tx1"/>
                  </w14:solidFill>
                </w14:textFil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2" w:hRule="atLeast"/>
          <w:jc w:val="center"/>
        </w:trPr>
        <w:tc>
          <w:tcPr>
            <w:tcW w:w="978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2" w:hRule="atLeast"/>
          <w:jc w:val="center"/>
        </w:trPr>
        <w:tc>
          <w:tcPr>
            <w:tcW w:w="244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信息内容</w:t>
            </w:r>
          </w:p>
        </w:tc>
        <w:tc>
          <w:tcPr>
            <w:tcW w:w="733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55" w:hRule="atLeast"/>
          <w:jc w:val="center"/>
        </w:trPr>
        <w:tc>
          <w:tcPr>
            <w:tcW w:w="244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行政许可</w:t>
            </w:r>
          </w:p>
        </w:tc>
        <w:tc>
          <w:tcPr>
            <w:tcW w:w="733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Calibri"/>
                <w:color w:val="000000" w:themeColor="text1"/>
                <w:kern w:val="0"/>
                <w:sz w:val="21"/>
                <w:szCs w:val="21"/>
                <w:lang w:val="en-US" w:eastAsia="zh-CN" w:bidi="ar-SA"/>
                <w14:textFill>
                  <w14:solidFill>
                    <w14:schemeClr w14:val="tx1"/>
                  </w14:solidFill>
                </w14:textFill>
              </w:rPr>
            </w:pPr>
            <w:r>
              <w:rPr>
                <w:rFonts w:hint="eastAsia" w:ascii="Times New Roman" w:hAnsi="Times New Roman" w:eastAsia="仿宋_GB2312" w:cs="Calibri"/>
                <w:color w:val="000000" w:themeColor="text1"/>
                <w:kern w:val="0"/>
                <w:szCs w:val="21"/>
                <w:lang w:val="en-US" w:eastAsia="zh-CN"/>
                <w14:textFill>
                  <w14:solidFill>
                    <w14:schemeClr w14:val="tx1"/>
                  </w14:solidFill>
                </w14:textFil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2" w:hRule="atLeast"/>
          <w:jc w:val="center"/>
        </w:trPr>
        <w:tc>
          <w:tcPr>
            <w:tcW w:w="978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2" w:hRule="atLeast"/>
          <w:jc w:val="center"/>
        </w:trPr>
        <w:tc>
          <w:tcPr>
            <w:tcW w:w="244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信息内容</w:t>
            </w:r>
          </w:p>
        </w:tc>
        <w:tc>
          <w:tcPr>
            <w:tcW w:w="7335" w:type="dxa"/>
            <w:gridSpan w:val="3"/>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55" w:hRule="atLeast"/>
          <w:jc w:val="center"/>
        </w:trPr>
        <w:tc>
          <w:tcPr>
            <w:tcW w:w="244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行政处罚</w:t>
            </w:r>
          </w:p>
        </w:tc>
        <w:tc>
          <w:tcPr>
            <w:tcW w:w="733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Calibri"/>
                <w:b w:val="0"/>
                <w:bCs w:val="0"/>
                <w:color w:val="000000" w:themeColor="text1"/>
                <w:kern w:val="0"/>
                <w:sz w:val="21"/>
                <w:szCs w:val="21"/>
                <w:lang w:val="en-US" w:eastAsia="zh-CN" w:bidi="ar-SA"/>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55" w:hRule="atLeast"/>
          <w:jc w:val="center"/>
        </w:trPr>
        <w:tc>
          <w:tcPr>
            <w:tcW w:w="244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行政强制</w:t>
            </w:r>
          </w:p>
        </w:tc>
        <w:tc>
          <w:tcPr>
            <w:tcW w:w="733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Calibri"/>
                <w:b w:val="0"/>
                <w:bCs w:val="0"/>
                <w:color w:val="000000" w:themeColor="text1"/>
                <w:kern w:val="0"/>
                <w:sz w:val="21"/>
                <w:szCs w:val="21"/>
                <w:lang w:val="en-US" w:eastAsia="zh-CN" w:bidi="ar-SA"/>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2" w:hRule="atLeast"/>
          <w:jc w:val="center"/>
        </w:trPr>
        <w:tc>
          <w:tcPr>
            <w:tcW w:w="978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2" w:hRule="atLeast"/>
          <w:jc w:val="center"/>
        </w:trPr>
        <w:tc>
          <w:tcPr>
            <w:tcW w:w="244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信息内容</w:t>
            </w:r>
          </w:p>
        </w:tc>
        <w:tc>
          <w:tcPr>
            <w:tcW w:w="7335" w:type="dxa"/>
            <w:gridSpan w:val="3"/>
            <w:tcBorders>
              <w:top w:val="nil"/>
              <w:left w:val="nil"/>
              <w:bottom w:val="single" w:color="auto" w:sz="8" w:space="0"/>
              <w:right w:val="single" w:color="000000"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79" w:hRule="atLeast"/>
          <w:jc w:val="center"/>
        </w:trPr>
        <w:tc>
          <w:tcPr>
            <w:tcW w:w="244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行政事业性收费</w:t>
            </w:r>
          </w:p>
        </w:tc>
        <w:tc>
          <w:tcPr>
            <w:tcW w:w="7335" w:type="dxa"/>
            <w:gridSpan w:val="3"/>
            <w:tcBorders>
              <w:top w:val="nil"/>
              <w:left w:val="nil"/>
              <w:bottom w:val="single" w:color="auto" w:sz="8" w:space="0"/>
              <w:right w:val="single" w:color="000000" w:sz="8" w:space="0"/>
            </w:tcBorders>
            <w:shd w:val="clear" w:color="auto" w:fill="auto"/>
            <w:tcMar>
              <w:top w:w="0" w:type="dxa"/>
              <w:left w:w="57" w:type="dxa"/>
              <w:bottom w:w="0" w:type="dxa"/>
              <w:right w:w="57" w:type="dxa"/>
            </w:tcMar>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Calibri"/>
                <w:color w:val="000000" w:themeColor="text1"/>
                <w:kern w:val="0"/>
                <w:sz w:val="21"/>
                <w:szCs w:val="21"/>
                <w:lang w:val="en-US" w:eastAsia="zh-CN" w:bidi="ar-SA"/>
                <w14:textFill>
                  <w14:solidFill>
                    <w14:schemeClr w14:val="tx1"/>
                  </w14:solidFill>
                </w14:textFill>
              </w:rPr>
            </w:pPr>
            <w:r>
              <w:rPr>
                <w:rFonts w:hint="eastAsia" w:ascii="Times New Roman" w:hAnsi="Times New Roman" w:eastAsia="仿宋_GB2312" w:cs="Calibri"/>
                <w:color w:val="000000" w:themeColor="text1"/>
                <w:kern w:val="0"/>
                <w:szCs w:val="21"/>
                <w:lang w:val="en-US" w:eastAsia="zh-CN"/>
                <w14:textFill>
                  <w14:solidFill>
                    <w14:schemeClr w14:val="tx1"/>
                  </w14:solidFill>
                </w14:textFill>
              </w:rPr>
              <w:t>0</w:t>
            </w:r>
          </w:p>
        </w:tc>
      </w:tr>
    </w:tbl>
    <w:p>
      <w:pPr>
        <w:keepNext w:val="0"/>
        <w:keepLines w:val="0"/>
        <w:pageBreakBefore w:val="0"/>
        <w:kinsoku/>
        <w:wordWrap w:val="0"/>
        <w:overflowPunct/>
        <w:topLinePunct w:val="0"/>
        <w:autoSpaceDE/>
        <w:autoSpaceDN/>
        <w:bidi w:val="0"/>
        <w:adjustRightInd/>
        <w:snapToGrid/>
        <w:textAlignment w:val="auto"/>
        <w:rPr>
          <w:rFonts w:hint="eastAsia" w:ascii="Times New Roman" w:hAnsi="Times New Roman" w:eastAsia="黑体" w:cs="黑体"/>
          <w:b w:val="0"/>
          <w:bCs/>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黑体" w:cs="黑体"/>
          <w:b w:val="0"/>
          <w:bCs/>
          <w:i w:val="0"/>
          <w:caps w:val="0"/>
          <w:color w:val="000000" w:themeColor="text1"/>
          <w:spacing w:val="0"/>
          <w:kern w:val="0"/>
          <w:sz w:val="32"/>
          <w:szCs w:val="32"/>
          <w:shd w:val="clear" w:fill="FFFFFF"/>
          <w:lang w:val="en-US" w:eastAsia="zh-CN" w:bidi="ar"/>
          <w14:textFill>
            <w14:solidFill>
              <w14:schemeClr w14:val="tx1"/>
            </w14:solidFill>
          </w14:textFill>
        </w:rPr>
        <w:t>三、收到和处理政府信息公开申请情况</w:t>
      </w:r>
    </w:p>
    <w:tbl>
      <w:tblPr>
        <w:tblStyle w:val="10"/>
        <w:tblW w:w="9748" w:type="dxa"/>
        <w:jc w:val="center"/>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
      <w:tblGrid>
        <w:gridCol w:w="768"/>
        <w:gridCol w:w="943"/>
        <w:gridCol w:w="3220"/>
        <w:gridCol w:w="688"/>
        <w:gridCol w:w="688"/>
        <w:gridCol w:w="688"/>
        <w:gridCol w:w="688"/>
        <w:gridCol w:w="688"/>
        <w:gridCol w:w="688"/>
        <w:gridCol w:w="68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jc w:val="center"/>
        </w:trPr>
        <w:tc>
          <w:tcPr>
            <w:tcW w:w="4931" w:type="dxa"/>
            <w:gridSpan w:val="3"/>
            <w:vMerge w:val="restart"/>
            <w:tcBorders>
              <w:top w:val="single" w:color="auto" w:sz="8" w:space="0"/>
              <w:left w:val="single" w:color="auto" w:sz="8" w:space="0"/>
              <w:bottom w:val="outset"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ascii="Times New Roman" w:hAnsi="Times New Roman"/>
                <w:color w:val="000000" w:themeColor="text1"/>
                <w14:textFill>
                  <w14:solidFill>
                    <w14:schemeClr w14:val="tx1"/>
                  </w14:solidFill>
                </w14:textFill>
              </w:rPr>
            </w:pPr>
            <w:r>
              <w:rPr>
                <w:rFonts w:ascii="Times New Roman" w:hAnsi="Times New Roman" w:eastAsia="楷体" w:cs="楷体"/>
                <w:color w:val="000000" w:themeColor="text1"/>
                <w:kern w:val="0"/>
                <w:sz w:val="20"/>
                <w:szCs w:val="20"/>
                <w:lang w:val="en-US" w:eastAsia="zh-CN" w:bidi="ar"/>
                <w14:textFill>
                  <w14:solidFill>
                    <w14:schemeClr w14:val="tx1"/>
                  </w14:solidFill>
                </w14:textFill>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4931" w:type="dxa"/>
            <w:gridSpan w:val="3"/>
            <w:vMerge w:val="continue"/>
            <w:tcBorders>
              <w:top w:val="single" w:color="auto" w:sz="8" w:space="0"/>
              <w:left w:val="single" w:color="auto" w:sz="8" w:space="0"/>
              <w:bottom w:val="outset" w:color="auto" w:sz="8" w:space="0"/>
              <w:right w:val="single" w:color="auto" w:sz="8" w:space="0"/>
            </w:tcBorders>
            <w:shd w:val="clear" w:color="auto" w:fill="auto"/>
            <w:tcMar>
              <w:top w:w="0" w:type="dxa"/>
              <w:left w:w="108" w:type="dxa"/>
              <w:bottom w:w="0" w:type="dxa"/>
              <w:right w:w="108"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688" w:type="dxa"/>
            <w:vMerge w:val="restart"/>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自然人</w:t>
            </w:r>
          </w:p>
        </w:tc>
        <w:tc>
          <w:tcPr>
            <w:tcW w:w="3440" w:type="dxa"/>
            <w:gridSpan w:val="5"/>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法人或其他组织</w:t>
            </w:r>
          </w:p>
        </w:tc>
        <w:tc>
          <w:tcPr>
            <w:tcW w:w="689" w:type="dxa"/>
            <w:vMerge w:val="restart"/>
            <w:tcBorders>
              <w:top w:val="single" w:color="auto" w:sz="8" w:space="0"/>
              <w:left w:val="nil"/>
              <w:bottom w:val="outset"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jc w:val="center"/>
        </w:trPr>
        <w:tc>
          <w:tcPr>
            <w:tcW w:w="4931" w:type="dxa"/>
            <w:gridSpan w:val="3"/>
            <w:vMerge w:val="continue"/>
            <w:tcBorders>
              <w:top w:val="single" w:color="auto" w:sz="8" w:space="0"/>
              <w:left w:val="single" w:color="auto" w:sz="8" w:space="0"/>
              <w:bottom w:val="outset" w:color="auto" w:sz="8" w:space="0"/>
              <w:right w:val="single" w:color="auto" w:sz="8" w:space="0"/>
            </w:tcBorders>
            <w:shd w:val="clear" w:color="auto" w:fill="auto"/>
            <w:tcMar>
              <w:top w:w="0" w:type="dxa"/>
              <w:left w:w="108" w:type="dxa"/>
              <w:bottom w:w="0" w:type="dxa"/>
              <w:right w:w="108"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688" w:type="dxa"/>
            <w:vMerge w:val="continue"/>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商业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企业</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科研</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机构</w:t>
            </w:r>
          </w:p>
        </w:tc>
        <w:tc>
          <w:tcPr>
            <w:tcW w:w="688"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社会公益组织</w:t>
            </w:r>
          </w:p>
        </w:tc>
        <w:tc>
          <w:tcPr>
            <w:tcW w:w="688"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法律服务机构</w:t>
            </w:r>
          </w:p>
        </w:tc>
        <w:tc>
          <w:tcPr>
            <w:tcW w:w="688"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其他</w:t>
            </w:r>
          </w:p>
        </w:tc>
        <w:tc>
          <w:tcPr>
            <w:tcW w:w="689" w:type="dxa"/>
            <w:vMerge w:val="continue"/>
            <w:tcBorders>
              <w:top w:val="single" w:color="auto" w:sz="8" w:space="0"/>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Times New Roman" w:hAnsi="Times New Roman"/>
                <w:color w:val="000000" w:themeColor="text1"/>
                <w:sz w:val="24"/>
                <w:szCs w:val="24"/>
                <w14:textFill>
                  <w14:solidFill>
                    <w14:schemeClr w14:val="tx1"/>
                  </w14:solidFill>
                </w14:textFill>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一、本年新收政府信息公开申请数量</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二、上年结转政府信息公开申请数量</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jc w:val="center"/>
        </w:trPr>
        <w:tc>
          <w:tcPr>
            <w:tcW w:w="768" w:type="dxa"/>
            <w:vMerge w:val="restart"/>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三、本年度办理结果</w:t>
            </w:r>
          </w:p>
        </w:tc>
        <w:tc>
          <w:tcPr>
            <w:tcW w:w="4163"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（一）予以公开</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9"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4163"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（二）部分公开</w:t>
            </w:r>
            <w:r>
              <w:rPr>
                <w:rFonts w:hint="eastAsia" w:ascii="Times New Roman" w:hAnsi="Times New Roman" w:eastAsia="楷体" w:cs="楷体"/>
                <w:color w:val="000000" w:themeColor="text1"/>
                <w:kern w:val="0"/>
                <w:sz w:val="20"/>
                <w:szCs w:val="20"/>
                <w:lang w:val="en-US" w:eastAsia="zh-CN" w:bidi="ar"/>
                <w14:textFill>
                  <w14:solidFill>
                    <w14:schemeClr w14:val="tx1"/>
                  </w14:solidFill>
                </w14:textFill>
              </w:rPr>
              <w:t>（区分处理的，只计这一情形，不计其他情形）</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trHeight w:val="325" w:hRule="atLeast"/>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943"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（三）不予公开</w:t>
            </w: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1.属于国家秘密</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9"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2.其他法律行政法规禁止公开</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3.危及“三安全一稳定”</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4.保护第三方合法权益</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5.属于三类内部事务信息</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6.属于四类过程性信息</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7.属于行政执法案卷</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8.属于行政查询事项</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943"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（四）无法提供</w:t>
            </w: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1.本机关不掌握相关政府信息</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2.没有现成信息需要另行制作</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3.补正后申请内容仍不明确</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943"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（五）不予处理</w:t>
            </w: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1.信访举报投诉类申请</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2.重复申请</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3.要求提供公开出版物</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4.无正当理由大量反复申请</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779" w:hRule="atLeast"/>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3220" w:type="dxa"/>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5.要求行政机关确认或重新出具已获取信息</w:t>
            </w:r>
          </w:p>
        </w:tc>
        <w:tc>
          <w:tcPr>
            <w:tcW w:w="688" w:type="dxa"/>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9" w:type="dxa"/>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943" w:type="dxa"/>
            <w:vMerge w:val="restart"/>
            <w:tcBorders>
              <w:top w:val="outset" w:color="auto" w:sz="8" w:space="0"/>
              <w:left w:val="nil"/>
              <w:bottom w:val="outset"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（六）其他处理</w:t>
            </w: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1.申请人无正当理由逾期不补正、行政机关不再处理其政府信息公开申请</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943" w:type="dxa"/>
            <w:vMerge w:val="continue"/>
            <w:tcBorders>
              <w:top w:val="outset" w:color="auto" w:sz="8" w:space="0"/>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943" w:type="dxa"/>
            <w:vMerge w:val="continue"/>
            <w:tcBorders>
              <w:top w:val="outset" w:color="auto" w:sz="8" w:space="0"/>
              <w:left w:val="nil"/>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3.其他</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4163"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（七）总计</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四、结转下年度继续办理</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olor w:val="000000" w:themeColor="text1"/>
                <w:sz w:val="24"/>
                <w:szCs w:val="24"/>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r>
    </w:tbl>
    <w:p>
      <w:pPr>
        <w:keepNext w:val="0"/>
        <w:keepLines w:val="0"/>
        <w:pageBreakBefore w:val="0"/>
        <w:kinsoku/>
        <w:wordWrap w:val="0"/>
        <w:overflowPunct/>
        <w:topLinePunct w:val="0"/>
        <w:autoSpaceDE/>
        <w:autoSpaceDN/>
        <w:bidi w:val="0"/>
        <w:adjustRightInd/>
        <w:snapToGrid/>
        <w:textAlignment w:val="auto"/>
        <w:rPr>
          <w:rFonts w:hint="eastAsia" w:ascii="Times New Roman" w:hAnsi="Times New Roman" w:eastAsia="黑体" w:cs="黑体"/>
          <w:b w:val="0"/>
          <w:bCs/>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黑体" w:cs="黑体"/>
          <w:b w:val="0"/>
          <w:bCs/>
          <w:i w:val="0"/>
          <w:caps w:val="0"/>
          <w:color w:val="000000" w:themeColor="text1"/>
          <w:spacing w:val="0"/>
          <w:kern w:val="0"/>
          <w:sz w:val="32"/>
          <w:szCs w:val="32"/>
          <w:shd w:val="clear" w:fill="FFFFFF"/>
          <w:lang w:val="en-US" w:eastAsia="zh-CN" w:bidi="ar"/>
          <w14:textFill>
            <w14:solidFill>
              <w14:schemeClr w14:val="tx1"/>
            </w14:solidFill>
          </w14:textFill>
        </w:rPr>
        <w:t>四、政府信息公开行政复议、行政诉讼情况</w:t>
      </w:r>
    </w:p>
    <w:tbl>
      <w:tblPr>
        <w:tblStyle w:val="10"/>
        <w:tblW w:w="9748" w:type="dxa"/>
        <w:jc w:val="center"/>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行政复议</w:t>
            </w:r>
          </w:p>
        </w:tc>
        <w:tc>
          <w:tcPr>
            <w:tcW w:w="6503" w:type="dxa"/>
            <w:gridSpan w:val="10"/>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jc w:val="center"/>
        </w:trPr>
        <w:tc>
          <w:tcPr>
            <w:tcW w:w="649" w:type="dxa"/>
            <w:vMerge w:val="restar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结果维持</w:t>
            </w:r>
          </w:p>
        </w:tc>
        <w:tc>
          <w:tcPr>
            <w:tcW w:w="649" w:type="dxa"/>
            <w:vMerge w:val="restar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结果</w:t>
            </w: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br w:type="textWrapping"/>
            </w: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纠正</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其他</w:t>
            </w: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br w:type="textWrapping"/>
            </w: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结果</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尚未</w:t>
            </w: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br w:type="textWrapping"/>
            </w: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审结</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jc w:val="center"/>
        </w:trPr>
        <w:tc>
          <w:tcPr>
            <w:tcW w:w="649"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649"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eastAsia" w:ascii="Times New Roman" w:hAnsi="Times New Roman"/>
                <w:color w:val="000000" w:themeColor="text1"/>
                <w:sz w:val="24"/>
                <w:szCs w:val="24"/>
                <w14:textFill>
                  <w14:solidFill>
                    <w14:schemeClr w14:val="tx1"/>
                  </w14:solidFill>
                </w14:textFill>
              </w:rPr>
            </w:pPr>
          </w:p>
        </w:tc>
        <w:tc>
          <w:tcPr>
            <w:tcW w:w="64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结果</w:t>
            </w: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br w:type="textWrapping"/>
            </w: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维持</w:t>
            </w:r>
          </w:p>
        </w:tc>
        <w:tc>
          <w:tcPr>
            <w:tcW w:w="64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结果</w:t>
            </w: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br w:type="textWrapping"/>
            </w: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纠正</w:t>
            </w:r>
          </w:p>
        </w:tc>
        <w:tc>
          <w:tcPr>
            <w:tcW w:w="650"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其他</w:t>
            </w: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br w:type="textWrapping"/>
            </w: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结果</w:t>
            </w:r>
          </w:p>
        </w:tc>
        <w:tc>
          <w:tcPr>
            <w:tcW w:w="650"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尚未</w:t>
            </w: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br w:type="textWrapping"/>
            </w: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审结</w:t>
            </w:r>
          </w:p>
        </w:tc>
        <w:tc>
          <w:tcPr>
            <w:tcW w:w="650"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总计</w:t>
            </w:r>
          </w:p>
        </w:tc>
        <w:tc>
          <w:tcPr>
            <w:tcW w:w="651"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结果</w:t>
            </w: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br w:type="textWrapping"/>
            </w: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维持</w:t>
            </w:r>
          </w:p>
        </w:tc>
        <w:tc>
          <w:tcPr>
            <w:tcW w:w="651"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结果</w:t>
            </w: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br w:type="textWrapping"/>
            </w: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纠正</w:t>
            </w:r>
          </w:p>
        </w:tc>
        <w:tc>
          <w:tcPr>
            <w:tcW w:w="651"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其他</w:t>
            </w: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br w:type="textWrapping"/>
            </w: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结果</w:t>
            </w:r>
          </w:p>
        </w:tc>
        <w:tc>
          <w:tcPr>
            <w:tcW w:w="651"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尚未</w:t>
            </w: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br w:type="textWrapping"/>
            </w: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审结</w:t>
            </w:r>
          </w:p>
        </w:tc>
        <w:tc>
          <w:tcPr>
            <w:tcW w:w="651"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Times New Roman" w:hAnsi="Times New Roman"/>
                <w:color w:val="000000" w:themeColor="text1"/>
                <w14:textFill>
                  <w14:solidFill>
                    <w14:schemeClr w14:val="tx1"/>
                  </w14:solidFill>
                </w14:textFill>
              </w:rPr>
            </w:pPr>
            <w:r>
              <w:rPr>
                <w:rFonts w:hint="eastAsia" w:ascii="Times New Roman" w:hAnsi="Times New Roman" w:eastAsia="宋体" w:cs="宋体"/>
                <w:color w:val="000000" w:themeColor="text1"/>
                <w:kern w:val="0"/>
                <w:sz w:val="20"/>
                <w:szCs w:val="20"/>
                <w:lang w:val="en-US" w:eastAsia="zh-CN" w:bidi="ar"/>
                <w14:textFill>
                  <w14:solidFill>
                    <w14:schemeClr w14:val="tx1"/>
                  </w14:solidFill>
                </w14:textFill>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4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4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4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4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4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4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51"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51"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51"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51"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c>
          <w:tcPr>
            <w:tcW w:w="651"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jc w:val="center"/>
              <w:rPr>
                <w:rFonts w:hint="eastAsia" w:ascii="Times New Roman" w:hAnsi="Times New Roman"/>
                <w:color w:val="000000" w:themeColor="text1"/>
                <w:sz w:val="24"/>
                <w:szCs w:val="24"/>
                <w14:textFill>
                  <w14:solidFill>
                    <w14:schemeClr w14:val="tx1"/>
                  </w14:solidFill>
                </w14:textFill>
              </w:rPr>
            </w:pPr>
            <w:r>
              <w:rPr>
                <w:rFonts w:hint="eastAsia" w:ascii="Times New Roman" w:hAnsi="Times New Roman" w:eastAsia="仿宋_GB2312" w:cs="Calibri"/>
                <w:b w:val="0"/>
                <w:bCs w:val="0"/>
                <w:color w:val="000000" w:themeColor="text1"/>
                <w:kern w:val="0"/>
                <w:szCs w:val="21"/>
                <w:lang w:val="en-US" w:eastAsia="zh-CN"/>
                <w14:textFill>
                  <w14:solidFill>
                    <w14:schemeClr w14:val="tx1"/>
                  </w14:solidFill>
                </w14:textFill>
              </w:rPr>
              <w:t>0</w:t>
            </w:r>
          </w:p>
        </w:tc>
      </w:tr>
    </w:tbl>
    <w:p>
      <w:pPr>
        <w:keepNext w:val="0"/>
        <w:keepLines w:val="0"/>
        <w:pageBreakBefore w:val="0"/>
        <w:kinsoku/>
        <w:wordWrap w:val="0"/>
        <w:overflowPunct/>
        <w:topLinePunct w:val="0"/>
        <w:autoSpaceDE/>
        <w:autoSpaceDN/>
        <w:bidi w:val="0"/>
        <w:adjustRightInd/>
        <w:snapToGrid/>
        <w:spacing w:line="240" w:lineRule="auto"/>
        <w:ind w:firstLine="480" w:firstLineChars="200"/>
        <w:textAlignment w:val="auto"/>
        <w:rPr>
          <w:rFonts w:hint="eastAsia" w:ascii="Times New Roman" w:hAnsi="Times New Roman" w:eastAsia="宋体" w:cs="宋体"/>
          <w:i w:val="0"/>
          <w:caps w:val="0"/>
          <w:color w:val="000000" w:themeColor="text1"/>
          <w:spacing w:val="0"/>
          <w:sz w:val="24"/>
          <w:szCs w:val="24"/>
          <w:shd w:val="clear" w:fill="FFFFFF"/>
          <w:lang w:val="en-US" w:eastAsia="zh-CN"/>
          <w14:textFill>
            <w14:solidFill>
              <w14:schemeClr w14:val="tx1"/>
            </w14:solidFill>
          </w14:textFill>
        </w:rPr>
      </w:pPr>
    </w:p>
    <w:p>
      <w:pPr>
        <w:pStyle w:val="7"/>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leftChars="0" w:right="0" w:rightChars="0" w:firstLine="420"/>
        <w:jc w:val="both"/>
        <w:textAlignment w:val="auto"/>
        <w:rPr>
          <w:rFonts w:hint="eastAsia" w:ascii="Times New Roman" w:hAnsi="Times New Roman" w:eastAsia="黑体" w:cs="黑体"/>
          <w:b w:val="0"/>
          <w:bCs/>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黑体" w:cs="黑体"/>
          <w:b w:val="0"/>
          <w:bCs/>
          <w:i w:val="0"/>
          <w:caps w:val="0"/>
          <w:color w:val="000000" w:themeColor="text1"/>
          <w:spacing w:val="0"/>
          <w:kern w:val="0"/>
          <w:sz w:val="32"/>
          <w:szCs w:val="32"/>
          <w:shd w:val="clear" w:fill="FFFFFF"/>
          <w:lang w:val="en-US" w:eastAsia="zh-CN" w:bidi="ar"/>
          <w14:textFill>
            <w14:solidFill>
              <w14:schemeClr w14:val="tx1"/>
            </w14:solidFill>
          </w14:textFill>
        </w:rPr>
        <w:t>存在的主要问题及改进情况</w:t>
      </w:r>
    </w:p>
    <w:p>
      <w:pPr>
        <w:pStyle w:val="7"/>
        <w:keepNext w:val="0"/>
        <w:keepLines w:val="0"/>
        <w:pageBreakBefore w:val="0"/>
        <w:widowControl/>
        <w:numPr>
          <w:ilvl w:val="0"/>
          <w:numId w:val="0"/>
        </w:numPr>
        <w:suppressLineNumbers w:val="0"/>
        <w:kinsoku/>
        <w:overflowPunct/>
        <w:topLinePunct w:val="0"/>
        <w:autoSpaceDE/>
        <w:autoSpaceDN w:val="0"/>
        <w:bidi w:val="0"/>
        <w:adjustRightInd/>
        <w:snapToGrid/>
        <w:spacing w:before="0" w:beforeAutospacing="0" w:after="0" w:afterAutospacing="0" w:line="560" w:lineRule="exact"/>
        <w:ind w:left="0" w:leftChars="0" w:right="0" w:rightChars="0" w:firstLine="643" w:firstLineChars="200"/>
        <w:jc w:val="both"/>
        <w:textAlignment w:val="auto"/>
        <w:rPr>
          <w:rFonts w:hint="eastAsia" w:ascii="Times New Roman" w:hAnsi="Times New Roman" w:eastAsia="仿宋_GB2312" w:cs="仿宋_GB2312"/>
          <w:b/>
          <w:color w:val="000000" w:themeColor="text1"/>
          <w:sz w:val="32"/>
          <w:szCs w:val="32"/>
          <w14:textFill>
            <w14:solidFill>
              <w14:schemeClr w14:val="tx1"/>
            </w14:solidFill>
          </w14:textFill>
        </w:rPr>
      </w:pPr>
      <w:r>
        <w:rPr>
          <w:rFonts w:hint="eastAsia" w:ascii="Times New Roman" w:hAnsi="Times New Roman" w:eastAsia="仿宋_GB2312" w:cs="仿宋_GB2312"/>
          <w:b/>
          <w:color w:val="000000" w:themeColor="text1"/>
          <w:sz w:val="32"/>
          <w:szCs w:val="32"/>
          <w:lang w:eastAsia="zh-CN"/>
          <w14:textFill>
            <w14:solidFill>
              <w14:schemeClr w14:val="tx1"/>
            </w14:solidFill>
          </w14:textFill>
        </w:rPr>
        <w:t>（</w:t>
      </w:r>
      <w:r>
        <w:rPr>
          <w:rFonts w:hint="eastAsia" w:ascii="Times New Roman" w:hAnsi="Times New Roman" w:eastAsia="仿宋_GB2312" w:cs="仿宋_GB2312"/>
          <w:b/>
          <w:color w:val="000000" w:themeColor="text1"/>
          <w:sz w:val="32"/>
          <w:szCs w:val="32"/>
          <w:lang w:val="en-US" w:eastAsia="zh-CN"/>
          <w14:textFill>
            <w14:solidFill>
              <w14:schemeClr w14:val="tx1"/>
            </w14:solidFill>
          </w14:textFill>
        </w:rPr>
        <w:t>一</w:t>
      </w:r>
      <w:r>
        <w:rPr>
          <w:rFonts w:hint="eastAsia" w:ascii="Times New Roman" w:hAnsi="Times New Roman" w:eastAsia="仿宋_GB2312" w:cs="仿宋_GB2312"/>
          <w:b/>
          <w:color w:val="000000" w:themeColor="text1"/>
          <w:sz w:val="32"/>
          <w:szCs w:val="32"/>
          <w:lang w:eastAsia="zh-CN"/>
          <w14:textFill>
            <w14:solidFill>
              <w14:schemeClr w14:val="tx1"/>
            </w14:solidFill>
          </w14:textFill>
        </w:rPr>
        <w:t>）</w:t>
      </w:r>
      <w:r>
        <w:rPr>
          <w:rFonts w:hint="eastAsia" w:ascii="Times New Roman" w:hAnsi="Times New Roman" w:eastAsia="仿宋_GB2312" w:cs="仿宋_GB2312"/>
          <w:b/>
          <w:color w:val="000000" w:themeColor="text1"/>
          <w:sz w:val="32"/>
          <w:szCs w:val="32"/>
          <w14:textFill>
            <w14:solidFill>
              <w14:schemeClr w14:val="tx1"/>
            </w14:solidFill>
          </w14:textFill>
        </w:rPr>
        <w:t>存在的主要问题</w:t>
      </w:r>
    </w:p>
    <w:p>
      <w:pPr>
        <w:pStyle w:val="7"/>
        <w:keepNext w:val="0"/>
        <w:keepLines w:val="0"/>
        <w:pageBreakBefore w:val="0"/>
        <w:widowControl/>
        <w:numPr>
          <w:ilvl w:val="0"/>
          <w:numId w:val="0"/>
        </w:numPr>
        <w:suppressLineNumbers w:val="0"/>
        <w:kinsoku/>
        <w:overflowPunct/>
        <w:topLinePunct w:val="0"/>
        <w:autoSpaceDE/>
        <w:autoSpaceDN w:val="0"/>
        <w:bidi w:val="0"/>
        <w:adjustRightInd/>
        <w:snapToGrid/>
        <w:spacing w:before="0" w:beforeAutospacing="0" w:after="0" w:afterAutospacing="0" w:line="560" w:lineRule="exact"/>
        <w:ind w:left="0" w:leftChars="0" w:right="0" w:rightChars="0" w:firstLine="640" w:firstLineChars="200"/>
        <w:jc w:val="both"/>
        <w:textAlignment w:val="auto"/>
        <w:rPr>
          <w:rFonts w:hint="eastAsia" w:ascii="Times New Roman" w:hAnsi="Times New Roman" w:eastAsia="仿宋_GB2312" w:cs="仿宋_GB2312"/>
          <w:b w:val="0"/>
          <w:bCs/>
          <w:color w:val="000000" w:themeColor="text1"/>
          <w:sz w:val="32"/>
          <w:szCs w:val="32"/>
          <w14:textFill>
            <w14:solidFill>
              <w14:schemeClr w14:val="tx1"/>
            </w14:solidFill>
          </w14:textFill>
        </w:rPr>
      </w:pPr>
      <w:r>
        <w:rPr>
          <w:rFonts w:hint="eastAsia" w:ascii="Times New Roman" w:hAnsi="Times New Roman" w:eastAsia="仿宋_GB2312" w:cs="仿宋_GB2312"/>
          <w:b w:val="0"/>
          <w:bCs/>
          <w:color w:val="000000" w:themeColor="text1"/>
          <w:sz w:val="32"/>
          <w:szCs w:val="32"/>
          <w14:textFill>
            <w14:solidFill>
              <w14:schemeClr w14:val="tx1"/>
            </w14:solidFill>
          </w14:textFill>
        </w:rPr>
        <w:t>政策解读还不够深入</w:t>
      </w:r>
      <w:r>
        <w:rPr>
          <w:rFonts w:hint="eastAsia" w:ascii="Times New Roman" w:hAnsi="Times New Roman" w:eastAsia="仿宋_GB2312" w:cs="仿宋_GB2312"/>
          <w:b w:val="0"/>
          <w:bCs/>
          <w:color w:val="000000" w:themeColor="text1"/>
          <w:sz w:val="32"/>
          <w:szCs w:val="32"/>
          <w:lang w:eastAsia="zh-CN"/>
          <w14:textFill>
            <w14:solidFill>
              <w14:schemeClr w14:val="tx1"/>
            </w14:solidFill>
          </w14:textFill>
        </w:rPr>
        <w:t>，</w:t>
      </w:r>
      <w:r>
        <w:rPr>
          <w:rFonts w:hint="eastAsia" w:ascii="Times New Roman" w:hAnsi="Times New Roman" w:eastAsia="仿宋_GB2312" w:cs="仿宋_GB2312"/>
          <w:b w:val="0"/>
          <w:bCs/>
          <w:color w:val="000000" w:themeColor="text1"/>
          <w:sz w:val="32"/>
          <w:szCs w:val="32"/>
          <w:lang w:val="en-US" w:eastAsia="zh-CN"/>
          <w14:textFill>
            <w14:solidFill>
              <w14:schemeClr w14:val="tx1"/>
            </w14:solidFill>
          </w14:textFill>
        </w:rPr>
        <w:t>部分政策解读较为笼统</w:t>
      </w:r>
      <w:r>
        <w:rPr>
          <w:rFonts w:hint="eastAsia" w:ascii="Times New Roman" w:hAnsi="Times New Roman" w:eastAsia="仿宋_GB2312" w:cs="仿宋_GB2312"/>
          <w:b w:val="0"/>
          <w:bCs/>
          <w:color w:val="000000" w:themeColor="text1"/>
          <w:sz w:val="32"/>
          <w:szCs w:val="32"/>
          <w14:textFill>
            <w14:solidFill>
              <w14:schemeClr w14:val="tx1"/>
            </w14:solidFill>
          </w14:textFill>
        </w:rPr>
        <w:t>；政府信息公开工作的队伍建设还需加强。工作人员在政府信息公开业务方面的专业知识和技能水平参差不齐，部分人员对信息公开的政策法规和操作流程不够熟悉，影响工作效率和质量。</w:t>
      </w:r>
    </w:p>
    <w:p>
      <w:pPr>
        <w:pStyle w:val="7"/>
        <w:keepNext w:val="0"/>
        <w:keepLines w:val="0"/>
        <w:pageBreakBefore w:val="0"/>
        <w:widowControl/>
        <w:numPr>
          <w:ilvl w:val="0"/>
          <w:numId w:val="0"/>
        </w:numPr>
        <w:suppressLineNumbers w:val="0"/>
        <w:kinsoku/>
        <w:overflowPunct/>
        <w:topLinePunct w:val="0"/>
        <w:autoSpaceDE/>
        <w:autoSpaceDN w:val="0"/>
        <w:bidi w:val="0"/>
        <w:adjustRightInd/>
        <w:snapToGrid/>
        <w:spacing w:before="0" w:beforeAutospacing="0" w:after="0" w:afterAutospacing="0" w:line="560" w:lineRule="exact"/>
        <w:ind w:left="0" w:leftChars="0" w:right="0" w:rightChars="0" w:firstLine="643" w:firstLineChars="200"/>
        <w:jc w:val="both"/>
        <w:textAlignment w:val="auto"/>
        <w:rPr>
          <w:rFonts w:hint="eastAsia" w:ascii="Times New Roman" w:hAnsi="Times New Roman" w:eastAsia="仿宋_GB2312" w:cs="仿宋_GB2312"/>
          <w:b/>
          <w:bCs/>
          <w:color w:val="000000" w:themeColor="text1"/>
          <w:sz w:val="32"/>
          <w:szCs w:val="32"/>
          <w:lang w:eastAsia="zh-CN"/>
          <w14:textFill>
            <w14:solidFill>
              <w14:schemeClr w14:val="tx1"/>
            </w14:solidFill>
          </w14:textFill>
        </w:rPr>
      </w:pPr>
      <w:r>
        <w:rPr>
          <w:rFonts w:hint="eastAsia" w:ascii="Times New Roman" w:hAnsi="Times New Roman" w:eastAsia="仿宋_GB2312" w:cs="仿宋_GB2312"/>
          <w:b/>
          <w:bCs/>
          <w:color w:val="000000" w:themeColor="text1"/>
          <w:sz w:val="32"/>
          <w:szCs w:val="32"/>
          <w:lang w:eastAsia="zh-CN"/>
          <w14:textFill>
            <w14:solidFill>
              <w14:schemeClr w14:val="tx1"/>
            </w14:solidFill>
          </w14:textFill>
        </w:rPr>
        <w:t>（</w:t>
      </w:r>
      <w:r>
        <w:rPr>
          <w:rFonts w:hint="eastAsia" w:ascii="Times New Roman" w:hAnsi="Times New Roman" w:eastAsia="仿宋_GB2312" w:cs="仿宋_GB2312"/>
          <w:b/>
          <w:bCs/>
          <w:color w:val="000000" w:themeColor="text1"/>
          <w:sz w:val="32"/>
          <w:szCs w:val="32"/>
          <w:lang w:val="en-US" w:eastAsia="zh-CN"/>
          <w14:textFill>
            <w14:solidFill>
              <w14:schemeClr w14:val="tx1"/>
            </w14:solidFill>
          </w14:textFill>
        </w:rPr>
        <w:t>二</w:t>
      </w:r>
      <w:r>
        <w:rPr>
          <w:rFonts w:hint="eastAsia" w:ascii="Times New Roman" w:hAnsi="Times New Roman" w:eastAsia="仿宋_GB2312" w:cs="仿宋_GB2312"/>
          <w:b/>
          <w:bCs/>
          <w:color w:val="000000" w:themeColor="text1"/>
          <w:sz w:val="32"/>
          <w:szCs w:val="32"/>
          <w:lang w:eastAsia="zh-CN"/>
          <w14:textFill>
            <w14:solidFill>
              <w14:schemeClr w14:val="tx1"/>
            </w14:solidFill>
          </w14:textFill>
        </w:rPr>
        <w:t>）</w:t>
      </w:r>
      <w:r>
        <w:rPr>
          <w:rFonts w:hint="eastAsia" w:ascii="Times New Roman" w:hAnsi="Times New Roman" w:eastAsia="仿宋_GB2312" w:cs="仿宋_GB2312"/>
          <w:b/>
          <w:bCs/>
          <w:color w:val="000000" w:themeColor="text1"/>
          <w:sz w:val="32"/>
          <w:szCs w:val="32"/>
          <w:lang w:val="en-US" w:eastAsia="zh-CN"/>
          <w14:textFill>
            <w14:solidFill>
              <w14:schemeClr w14:val="tx1"/>
            </w14:solidFill>
          </w14:textFill>
        </w:rPr>
        <w:t>改进措施</w:t>
      </w:r>
    </w:p>
    <w:p>
      <w:pPr>
        <w:pStyle w:val="7"/>
        <w:keepNext w:val="0"/>
        <w:keepLines w:val="0"/>
        <w:pageBreakBefore w:val="0"/>
        <w:widowControl/>
        <w:numPr>
          <w:ilvl w:val="0"/>
          <w:numId w:val="0"/>
        </w:numPr>
        <w:suppressLineNumbers w:val="0"/>
        <w:kinsoku/>
        <w:overflowPunct/>
        <w:topLinePunct w:val="0"/>
        <w:autoSpaceDE/>
        <w:autoSpaceDN w:val="0"/>
        <w:bidi w:val="0"/>
        <w:adjustRightInd/>
        <w:snapToGrid/>
        <w:spacing w:before="0" w:beforeAutospacing="0" w:after="0" w:afterAutospacing="0" w:line="560" w:lineRule="exact"/>
        <w:ind w:left="0" w:leftChars="0" w:right="0" w:rightChars="0" w:firstLine="640" w:firstLineChars="200"/>
        <w:jc w:val="both"/>
        <w:textAlignment w:val="auto"/>
        <w:rPr>
          <w:rFonts w:hint="eastAsia" w:ascii="Times New Roman" w:hAnsi="Times New Roman" w:eastAsia="仿宋_GB2312" w:cs="仿宋_GB2312"/>
          <w:b w:val="0"/>
          <w:bCs/>
          <w:color w:val="000000" w:themeColor="text1"/>
          <w:sz w:val="32"/>
          <w:szCs w:val="32"/>
          <w14:textFill>
            <w14:solidFill>
              <w14:schemeClr w14:val="tx1"/>
            </w14:solidFill>
          </w14:textFill>
        </w:rPr>
      </w:pPr>
      <w:r>
        <w:rPr>
          <w:rFonts w:hint="eastAsia" w:ascii="Times New Roman" w:hAnsi="Times New Roman" w:eastAsia="仿宋_GB2312" w:cs="仿宋_GB2312"/>
          <w:b w:val="0"/>
          <w:bCs/>
          <w:color w:val="000000" w:themeColor="text1"/>
          <w:sz w:val="32"/>
          <w:szCs w:val="32"/>
          <w14:textFill>
            <w14:solidFill>
              <w14:schemeClr w14:val="tx1"/>
            </w14:solidFill>
          </w14:textFill>
        </w:rPr>
        <w:t>加强学习借鉴，认真学习政府信息公开工作相关文件</w:t>
      </w:r>
      <w:r>
        <w:rPr>
          <w:rFonts w:hint="eastAsia" w:ascii="Times New Roman" w:hAnsi="Times New Roman" w:eastAsia="仿宋_GB2312" w:cs="仿宋_GB2312"/>
          <w:b w:val="0"/>
          <w:bCs/>
          <w:color w:val="000000" w:themeColor="text1"/>
          <w:sz w:val="32"/>
          <w:szCs w:val="32"/>
          <w:lang w:eastAsia="zh-CN"/>
          <w14:textFill>
            <w14:solidFill>
              <w14:schemeClr w14:val="tx1"/>
            </w14:solidFill>
          </w14:textFill>
        </w:rPr>
        <w:t>；</w:t>
      </w:r>
      <w:r>
        <w:rPr>
          <w:rFonts w:hint="eastAsia" w:ascii="Times New Roman" w:hAnsi="Times New Roman" w:eastAsia="仿宋_GB2312" w:cs="仿宋_GB2312"/>
          <w:b w:val="0"/>
          <w:bCs/>
          <w:color w:val="000000" w:themeColor="text1"/>
          <w:sz w:val="32"/>
          <w:szCs w:val="32"/>
          <w14:textFill>
            <w14:solidFill>
              <w14:schemeClr w14:val="tx1"/>
            </w14:solidFill>
          </w14:textFill>
        </w:rPr>
        <w:t>提高思想认识，深化对政府信息公开工作重要性的认识，及时公开、更新。</w:t>
      </w:r>
      <w:r>
        <w:rPr>
          <w:rFonts w:hint="eastAsia" w:ascii="Times New Roman" w:hAnsi="Times New Roman" w:eastAsia="仿宋_GB2312" w:cs="仿宋_GB2312"/>
          <w:b w:val="0"/>
          <w:bCs/>
          <w:color w:val="000000" w:themeColor="text1"/>
          <w:sz w:val="32"/>
          <w:szCs w:val="32"/>
          <w:lang w:val="en-US" w:eastAsia="zh-CN"/>
          <w14:textFill>
            <w14:solidFill>
              <w14:schemeClr w14:val="tx1"/>
            </w14:solidFill>
          </w14:textFill>
        </w:rPr>
        <w:t>强化队伍能力建设，定期组织开展政府信息公开条例、保密法规、政策解读技巧等专题培训，提升工作人员的业务资质和专业能力，规范信息公开全流程管理，提高工作质量和效率。</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leftChars="0" w:right="0" w:rightChars="0" w:firstLine="420"/>
        <w:jc w:val="both"/>
        <w:textAlignment w:val="auto"/>
        <w:rPr>
          <w:rFonts w:hint="eastAsia" w:ascii="Times New Roman" w:hAnsi="Times New Roman" w:eastAsia="黑体" w:cs="黑体"/>
          <w:b w:val="0"/>
          <w:bCs/>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黑体" w:cs="黑体"/>
          <w:b w:val="0"/>
          <w:bCs/>
          <w:i w:val="0"/>
          <w:caps w:val="0"/>
          <w:color w:val="000000" w:themeColor="text1"/>
          <w:spacing w:val="0"/>
          <w:kern w:val="0"/>
          <w:sz w:val="32"/>
          <w:szCs w:val="32"/>
          <w:shd w:val="clear" w:fill="FFFFFF"/>
          <w:lang w:val="en-US" w:eastAsia="zh-CN" w:bidi="ar"/>
          <w14:textFill>
            <w14:solidFill>
              <w14:schemeClr w14:val="tx1"/>
            </w14:solidFill>
          </w14:textFill>
        </w:rPr>
        <w:t>六、其他需要报告的事项</w:t>
      </w:r>
    </w:p>
    <w:p>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643" w:firstLineChars="200"/>
        <w:jc w:val="both"/>
        <w:textAlignment w:val="auto"/>
        <w:rPr>
          <w:rFonts w:hint="eastAsia" w:ascii="Times New Roman" w:hAnsi="Times New Roman" w:eastAsia="仿宋_GB2312" w:cs="仿宋_GB2312"/>
          <w:color w:val="000000" w:themeColor="text1"/>
          <w:sz w:val="32"/>
          <w:szCs w:val="32"/>
          <w:shd w:val="clear" w:color="auto" w:fill="FFFFFF"/>
          <w14:textFill>
            <w14:solidFill>
              <w14:schemeClr w14:val="tx1"/>
            </w14:solidFill>
          </w14:textFill>
        </w:rPr>
      </w:pPr>
      <w:r>
        <w:rPr>
          <w:rFonts w:hint="eastAsia" w:ascii="Times New Roman" w:hAnsi="Times New Roman" w:eastAsia="仿宋_GB2312" w:cs="仿宋_GB2312"/>
          <w:b/>
          <w:bCs/>
          <w:color w:val="000000" w:themeColor="text1"/>
          <w:sz w:val="32"/>
          <w:szCs w:val="32"/>
          <w:lang w:val="en-US" w:eastAsia="zh-CN"/>
          <w14:textFill>
            <w14:solidFill>
              <w14:schemeClr w14:val="tx1"/>
            </w14:solidFill>
          </w14:textFill>
        </w:rPr>
        <w:t>（一）依据《政府信息公开信息处理费管理办法》收取信息处理费的情况。</w:t>
      </w:r>
      <w:r>
        <w:rPr>
          <w:rFonts w:hint="default" w:ascii="Times New Roman" w:hAnsi="Times New Roman" w:eastAsia="仿宋_GB2312" w:cs="Times New Roman"/>
          <w:color w:val="000000" w:themeColor="text1"/>
          <w:sz w:val="32"/>
          <w:szCs w:val="32"/>
          <w:shd w:val="clear" w:color="auto" w:fill="FFFFFF"/>
          <w14:textFill>
            <w14:solidFill>
              <w14:schemeClr w14:val="tx1"/>
            </w14:solidFill>
          </w14:textFill>
        </w:rPr>
        <w:t>202</w:t>
      </w:r>
      <w:r>
        <w:rPr>
          <w:rFonts w:hint="eastAsia" w:ascii="Times New Roman" w:hAnsi="Times New Roman" w:eastAsia="仿宋_GB2312" w:cs="Times New Roman"/>
          <w:color w:val="000000" w:themeColor="text1"/>
          <w:sz w:val="32"/>
          <w:szCs w:val="32"/>
          <w:shd w:val="clear" w:color="auto" w:fill="FFFFFF"/>
          <w:lang w:val="en-US" w:eastAsia="zh-CN"/>
          <w14:textFill>
            <w14:solidFill>
              <w14:schemeClr w14:val="tx1"/>
            </w14:solidFill>
          </w14:textFill>
        </w:rPr>
        <w:t>5</w:t>
      </w:r>
      <w:r>
        <w:rPr>
          <w:rFonts w:hint="eastAsia" w:ascii="Times New Roman" w:hAnsi="Times New Roman" w:eastAsia="仿宋_GB2312" w:cs="仿宋_GB2312"/>
          <w:color w:val="000000" w:themeColor="text1"/>
          <w:sz w:val="32"/>
          <w:szCs w:val="32"/>
          <w:shd w:val="clear" w:color="auto" w:fill="FFFFFF"/>
          <w14:textFill>
            <w14:solidFill>
              <w14:schemeClr w14:val="tx1"/>
            </w14:solidFill>
          </w14:textFill>
        </w:rPr>
        <w:t>年</w:t>
      </w:r>
      <w:r>
        <w:rPr>
          <w:rFonts w:hint="eastAsia" w:ascii="Times New Roman" w:hAnsi="Times New Roman" w:eastAsia="仿宋_GB2312" w:cs="仿宋_GB2312"/>
          <w:color w:val="000000" w:themeColor="text1"/>
          <w:sz w:val="32"/>
          <w:szCs w:val="32"/>
          <w:shd w:val="clear" w:color="auto" w:fill="FFFFFF"/>
          <w:lang w:val="en-US" w:eastAsia="zh-CN"/>
          <w14:textFill>
            <w14:solidFill>
              <w14:schemeClr w14:val="tx1"/>
            </w14:solidFill>
          </w14:textFill>
        </w:rPr>
        <w:t>度</w:t>
      </w:r>
      <w:r>
        <w:rPr>
          <w:rFonts w:hint="eastAsia" w:ascii="Times New Roman" w:hAnsi="Times New Roman" w:eastAsia="仿宋_GB2312" w:cs="仿宋_GB2312"/>
          <w:color w:val="000000" w:themeColor="text1"/>
          <w:sz w:val="32"/>
          <w:szCs w:val="32"/>
          <w:shd w:val="clear" w:color="auto" w:fill="FFFFFF"/>
          <w14:textFill>
            <w14:solidFill>
              <w14:schemeClr w14:val="tx1"/>
            </w14:solidFill>
          </w14:textFill>
        </w:rPr>
        <w:t>我</w:t>
      </w:r>
      <w:r>
        <w:rPr>
          <w:rFonts w:hint="eastAsia" w:ascii="Times New Roman" w:hAnsi="Times New Roman" w:eastAsia="仿宋_GB2312" w:cs="仿宋_GB2312"/>
          <w:color w:val="000000" w:themeColor="text1"/>
          <w:sz w:val="32"/>
          <w:szCs w:val="32"/>
          <w:shd w:val="clear" w:color="auto" w:fill="FFFFFF"/>
          <w:lang w:val="en-US" w:eastAsia="zh-CN"/>
          <w14:textFill>
            <w14:solidFill>
              <w14:schemeClr w14:val="tx1"/>
            </w14:solidFill>
          </w14:textFill>
        </w:rPr>
        <w:t>单位</w:t>
      </w:r>
      <w:r>
        <w:rPr>
          <w:rFonts w:hint="eastAsia" w:ascii="Times New Roman" w:hAnsi="Times New Roman" w:eastAsia="仿宋_GB2312" w:cs="仿宋_GB2312"/>
          <w:color w:val="000000" w:themeColor="text1"/>
          <w:sz w:val="32"/>
          <w:szCs w:val="32"/>
          <w:shd w:val="clear" w:color="auto" w:fill="FFFFFF"/>
          <w14:textFill>
            <w14:solidFill>
              <w14:schemeClr w14:val="tx1"/>
            </w14:solidFill>
          </w14:textFill>
        </w:rPr>
        <w:t>依申请公开政府信息数量为零，未收取任何费用。</w:t>
      </w:r>
    </w:p>
    <w:p>
      <w:pPr>
        <w:pStyle w:val="7"/>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3" w:firstLineChars="200"/>
        <w:jc w:val="both"/>
        <w:textAlignment w:val="auto"/>
        <w:outlineLvl w:val="9"/>
        <w:rPr>
          <w:rFonts w:hint="eastAsia" w:ascii="Times New Roman" w:hAnsi="Times New Roman" w:eastAsia="仿宋_GB2312" w:cs="仿宋_GB2312"/>
          <w:b w:val="0"/>
          <w:bCs w:val="0"/>
          <w:color w:val="000000" w:themeColor="text1"/>
          <w:sz w:val="32"/>
          <w:szCs w:val="32"/>
          <w:lang w:val="en-US" w:eastAsia="zh-CN"/>
          <w14:textFill>
            <w14:solidFill>
              <w14:schemeClr w14:val="tx1"/>
            </w14:solidFill>
          </w14:textFill>
        </w:rPr>
      </w:pPr>
      <w:r>
        <w:rPr>
          <w:rFonts w:hint="eastAsia" w:ascii="Times New Roman" w:hAnsi="Times New Roman" w:eastAsia="仿宋_GB2312" w:cs="仿宋_GB2312"/>
          <w:b/>
          <w:bCs/>
          <w:color w:val="000000" w:themeColor="text1"/>
          <w:sz w:val="32"/>
          <w:szCs w:val="32"/>
          <w:lang w:val="en-US" w:eastAsia="zh-CN"/>
          <w14:textFill>
            <w14:solidFill>
              <w14:schemeClr w14:val="tx1"/>
            </w14:solidFill>
          </w14:textFill>
        </w:rPr>
        <w:t>（二）本年度人大代表建议和政协委员提案办理情况。</w:t>
      </w:r>
      <w:r>
        <w:rPr>
          <w:rFonts w:ascii="Times New Roman" w:hAnsi="Times New Roman" w:eastAsia="微软雅黑" w:cs="微软雅黑"/>
          <w:color w:val="000000" w:themeColor="text1"/>
          <w:sz w:val="24"/>
          <w:szCs w:val="24"/>
          <w14:textFill>
            <w14:solidFill>
              <w14:schemeClr w14:val="tx1"/>
            </w14:solidFill>
          </w14:textFill>
        </w:rPr>
        <w:t xml:space="preserve">  </w:t>
      </w:r>
      <w:r>
        <w:rPr>
          <w:rFonts w:hint="eastAsia" w:ascii="Times New Roman" w:hAnsi="Times New Roman" w:eastAsia="仿宋_GB2312" w:cs="仿宋_GB2312"/>
          <w:b w:val="0"/>
          <w:bCs w:val="0"/>
          <w:color w:val="000000" w:themeColor="text1"/>
          <w:sz w:val="32"/>
          <w:szCs w:val="32"/>
          <w14:textFill>
            <w14:solidFill>
              <w14:schemeClr w14:val="tx1"/>
            </w14:solidFill>
          </w14:textFill>
        </w:rPr>
        <w:t>2025年，</w:t>
      </w:r>
      <w:r>
        <w:rPr>
          <w:rFonts w:hint="eastAsia" w:ascii="Times New Roman" w:hAnsi="Times New Roman" w:eastAsia="仿宋_GB2312" w:cs="仿宋_GB2312"/>
          <w:b w:val="0"/>
          <w:bCs w:val="0"/>
          <w:color w:val="000000" w:themeColor="text1"/>
          <w:sz w:val="32"/>
          <w:szCs w:val="32"/>
          <w:lang w:val="en-US" w:eastAsia="zh-CN"/>
          <w14:textFill>
            <w14:solidFill>
              <w14:schemeClr w14:val="tx1"/>
            </w14:solidFill>
          </w14:textFill>
        </w:rPr>
        <w:t>张店</w:t>
      </w:r>
      <w:r>
        <w:rPr>
          <w:rFonts w:hint="eastAsia" w:ascii="Times New Roman" w:hAnsi="Times New Roman" w:eastAsia="仿宋_GB2312" w:cs="仿宋_GB2312"/>
          <w:b w:val="0"/>
          <w:bCs w:val="0"/>
          <w:color w:val="000000" w:themeColor="text1"/>
          <w:sz w:val="32"/>
          <w:szCs w:val="32"/>
          <w14:textFill>
            <w14:solidFill>
              <w14:schemeClr w14:val="tx1"/>
            </w14:solidFill>
          </w14:textFill>
        </w:rPr>
        <w:t>区金融运行监测中心共承办人大代表建议和政协委员提案7件，其中主办3件，协办4件。这些建议和提案涵盖金融扶持小微企业、优化营商环境等多个方面，充分体现了代表委员对金融业发展的高度关注和殷切期望。截至目前，7件代表建议和委员提案已全部答复办理完毕，代表委员反馈满意度达到100%。</w:t>
      </w:r>
    </w:p>
    <w:p>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643" w:firstLineChars="200"/>
        <w:jc w:val="both"/>
        <w:textAlignment w:val="auto"/>
        <w:rPr>
          <w:rFonts w:hint="eastAsia" w:ascii="Times New Roman" w:hAnsi="Times New Roman" w:eastAsia="仿宋_GB2312" w:cs="仿宋_GB2312"/>
          <w:b/>
          <w:bCs/>
          <w:color w:val="000000" w:themeColor="text1"/>
          <w:sz w:val="32"/>
          <w:szCs w:val="32"/>
          <w:lang w:val="en-US" w:eastAsia="zh-CN"/>
          <w14:textFill>
            <w14:solidFill>
              <w14:schemeClr w14:val="tx1"/>
            </w14:solidFill>
          </w14:textFill>
        </w:rPr>
      </w:pPr>
      <w:r>
        <w:rPr>
          <w:rFonts w:hint="eastAsia" w:ascii="Times New Roman" w:hAnsi="Times New Roman" w:eastAsia="仿宋_GB2312" w:cs="仿宋_GB2312"/>
          <w:b/>
          <w:bCs/>
          <w:color w:val="000000" w:themeColor="text1"/>
          <w:sz w:val="32"/>
          <w:szCs w:val="32"/>
          <w:lang w:val="en-US" w:eastAsia="zh-CN"/>
          <w14:textFill>
            <w14:solidFill>
              <w14:schemeClr w14:val="tx1"/>
            </w14:solidFill>
          </w14:textFill>
        </w:rPr>
        <w:t>（三）本单位在政务公开制度、内容、形式和平台建设方面的创新实践情况。</w:t>
      </w:r>
      <w:r>
        <w:rPr>
          <w:rFonts w:hint="eastAsia" w:ascii="Times New Roman" w:hAnsi="Times New Roman" w:eastAsia="仿宋_GB2312" w:cs="仿宋_GB2312"/>
          <w:b w:val="0"/>
          <w:bCs w:val="0"/>
          <w:color w:val="000000" w:themeColor="text1"/>
          <w:sz w:val="32"/>
          <w:szCs w:val="32"/>
          <w:lang w:val="en-US" w:eastAsia="zh-CN"/>
          <w14:textFill>
            <w14:solidFill>
              <w14:schemeClr w14:val="tx1"/>
            </w14:solidFill>
          </w14:textFill>
        </w:rPr>
        <w:t>张店区金融运行监测中心以打造“公开透明、便捷高效、惠民利民”的政府信息公开为目标，以筑牢制度基石为先导，始终坚持将政务公开作为提升政府治理能力的关键举措，推动工作落地见效。工作中形成了主要负责同志牵头，各科室分工协作，“横向到边、纵向到底”的全域工作网络，确保责任层层压实、工作环环相扣。严格执行信息发布“分级审核、层层把关”制度，从源头规范公开内容的真实性、公开流程的规范性、公开频次的及时性，为政务公开工作有序推进提供坚实制度保障，让政务公开成为贯通政府与群众的“沟通纽带”。</w:t>
      </w:r>
    </w:p>
    <w:p>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643" w:firstLineChars="200"/>
        <w:jc w:val="both"/>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b/>
          <w:bCs/>
          <w:color w:val="000000" w:themeColor="text1"/>
          <w:sz w:val="32"/>
          <w:szCs w:val="32"/>
          <w:highlight w:val="none"/>
          <w:lang w:val="en-US" w:eastAsia="zh-CN"/>
          <w14:textFill>
            <w14:solidFill>
              <w14:schemeClr w14:val="tx1"/>
            </w14:solidFill>
          </w14:textFill>
        </w:rPr>
        <w:t>（四）《2025年张店区政务公开工作要点分工方案》落实情况。</w:t>
      </w:r>
      <w:r>
        <w:rPr>
          <w:rFonts w:hint="eastAsia" w:ascii="Times New Roman" w:hAnsi="Times New Roman" w:eastAsia="仿宋_GB2312" w:cs="仿宋_GB2312"/>
          <w:b w:val="0"/>
          <w:bCs w:val="0"/>
          <w:color w:val="000000" w:themeColor="text1"/>
          <w:sz w:val="32"/>
          <w:szCs w:val="32"/>
          <w:highlight w:val="none"/>
          <w:lang w:val="en-US" w:eastAsia="zh-CN"/>
          <w14:textFill>
            <w14:solidFill>
              <w14:schemeClr w14:val="tx1"/>
            </w14:solidFill>
          </w14:textFill>
        </w:rPr>
        <w:t>张店区金融运行监测中心紧紧围绕《2025年张店区政务公开工作要点分工方案》，以提升公开质量、优化服务效能为核心，</w:t>
      </w:r>
      <w:r>
        <w:rPr>
          <w:rFonts w:hint="eastAsia" w:ascii="Times New Roman" w:hAnsi="Times New Roman" w:eastAsia="仿宋_GB2312" w:cs="仿宋_GB2312"/>
          <w:b w:val="0"/>
          <w:bCs w:val="0"/>
          <w:kern w:val="0"/>
          <w:sz w:val="32"/>
          <w:szCs w:val="32"/>
          <w:lang w:val="en-US" w:eastAsia="zh-CN" w:bidi="ar"/>
        </w:rPr>
        <w:t>聚焦主责主业，</w:t>
      </w:r>
      <w:r>
        <w:rPr>
          <w:rFonts w:hint="eastAsia" w:ascii="Times New Roman" w:hAnsi="Times New Roman" w:eastAsia="仿宋_GB2312" w:cs="仿宋_GB2312"/>
          <w:b w:val="0"/>
          <w:bCs w:val="0"/>
          <w:color w:val="000000" w:themeColor="text1"/>
          <w:sz w:val="32"/>
          <w:szCs w:val="32"/>
          <w:highlight w:val="none"/>
          <w:lang w:val="en-US" w:eastAsia="zh-CN"/>
          <w14:textFill>
            <w14:solidFill>
              <w14:schemeClr w14:val="tx1"/>
            </w14:solidFill>
          </w14:textFill>
        </w:rPr>
        <w:t>扎实推进政务公开各项工作。</w:t>
      </w:r>
      <w:r>
        <w:rPr>
          <w:rFonts w:hint="eastAsia" w:ascii="Times New Roman" w:hAnsi="Times New Roman" w:eastAsia="仿宋_GB2312" w:cs="仿宋_GB2312"/>
          <w:sz w:val="32"/>
          <w:szCs w:val="32"/>
          <w:shd w:val="clear" w:color="auto" w:fill="FFFFFF"/>
          <w:lang w:val="en-US" w:eastAsia="zh-CN"/>
        </w:rPr>
        <w:t>全方位、全流程公开</w:t>
      </w:r>
      <w:r>
        <w:rPr>
          <w:rFonts w:hint="eastAsia" w:ascii="Times New Roman" w:hAnsi="Times New Roman" w:eastAsia="仿宋_GB2312" w:cs="仿宋_GB2312"/>
          <w:b w:val="0"/>
          <w:bCs w:val="0"/>
          <w:color w:val="000000" w:themeColor="text1"/>
          <w:sz w:val="32"/>
          <w:szCs w:val="32"/>
          <w:highlight w:val="none"/>
          <w:lang w:val="en-US" w:eastAsia="zh-CN"/>
          <w14:textFill>
            <w14:solidFill>
              <w14:schemeClr w14:val="tx1"/>
            </w14:solidFill>
          </w14:textFill>
        </w:rPr>
        <w:t>2025年金融工作实际，月度公开金融业运行情况，公开</w:t>
      </w:r>
      <w:r>
        <w:rPr>
          <w:rFonts w:hint="default" w:ascii="Times New Roman" w:hAnsi="Times New Roman" w:eastAsia="仿宋_GB2312" w:cs="Times New Roman"/>
          <w:sz w:val="32"/>
          <w:szCs w:val="32"/>
          <w:lang w:val="en-US" w:eastAsia="zh-CN"/>
        </w:rPr>
        <w:t>张店区金融赋能高质量发展大会暨全市金融支持养老发展优化提升行动启动仪式、</w:t>
      </w:r>
      <w:r>
        <w:rPr>
          <w:rFonts w:hint="eastAsia" w:ascii="Times New Roman" w:hAnsi="Times New Roman" w:eastAsia="仿宋_GB2312" w:cs="仿宋_GB2312"/>
          <w:i w:val="0"/>
          <w:iCs w:val="0"/>
          <w:caps w:val="0"/>
          <w:color w:val="000000"/>
          <w:spacing w:val="0"/>
          <w:sz w:val="32"/>
          <w:szCs w:val="32"/>
        </w:rPr>
        <w:t>淄博市“金融会客厅”暨张店区金融支持服务业专项对接会</w:t>
      </w:r>
      <w:r>
        <w:rPr>
          <w:rFonts w:hint="eastAsia" w:ascii="Times New Roman" w:hAnsi="Times New Roman" w:eastAsia="仿宋_GB2312" w:cs="仿宋_GB2312"/>
          <w:i w:val="0"/>
          <w:iCs w:val="0"/>
          <w:caps w:val="0"/>
          <w:color w:val="000000"/>
          <w:spacing w:val="0"/>
          <w:sz w:val="32"/>
          <w:szCs w:val="32"/>
          <w:lang w:val="en-US" w:eastAsia="zh-CN"/>
        </w:rPr>
        <w:t>等</w:t>
      </w:r>
      <w:r>
        <w:rPr>
          <w:rFonts w:hint="default" w:ascii="Times New Roman" w:hAnsi="Times New Roman" w:eastAsia="仿宋_GB2312" w:cs="Times New Roman"/>
          <w:sz w:val="32"/>
          <w:szCs w:val="32"/>
          <w:lang w:val="en-US" w:eastAsia="zh-CN"/>
        </w:rPr>
        <w:t>银企对接活动</w:t>
      </w:r>
      <w:r>
        <w:rPr>
          <w:rFonts w:hint="eastAsia" w:ascii="Times New Roman" w:hAnsi="Times New Roman" w:eastAsia="仿宋_GB2312" w:cs="Times New Roman"/>
          <w:sz w:val="32"/>
          <w:szCs w:val="32"/>
          <w:lang w:val="en-US" w:eastAsia="zh-CN"/>
        </w:rPr>
        <w:t>情况；政协、人大提案办理完成后及时公开办理情况；多种形式</w:t>
      </w:r>
      <w:r>
        <w:rPr>
          <w:rFonts w:hint="eastAsia" w:ascii="Times New Roman" w:hAnsi="Times New Roman" w:eastAsia="仿宋_GB2312" w:cs="仿宋_GB2312"/>
          <w:b w:val="0"/>
          <w:bCs w:val="0"/>
          <w:sz w:val="32"/>
          <w:szCs w:val="32"/>
          <w:lang w:val="en-US" w:eastAsia="zh-CN"/>
        </w:rPr>
        <w:t>解读相关金融政策，</w:t>
      </w:r>
      <w:r>
        <w:rPr>
          <w:rFonts w:hint="eastAsia" w:ascii="Times New Roman" w:hAnsi="Times New Roman" w:eastAsia="仿宋_GB2312" w:cs="仿宋_GB2312"/>
          <w:sz w:val="32"/>
          <w:szCs w:val="32"/>
          <w:lang w:val="en-US" w:eastAsia="zh-CN"/>
        </w:rPr>
        <w:t>以群众喜闻乐见的形式宣传金融政策知识，提高公众知晓度。</w:t>
      </w:r>
    </w:p>
    <w:p>
      <w:pPr>
        <w:keepNext w:val="0"/>
        <w:keepLines w:val="0"/>
        <w:widowControl/>
        <w:suppressLineNumbers w:val="0"/>
        <w:ind w:firstLine="640" w:firstLineChars="200"/>
        <w:jc w:val="left"/>
        <w:rPr>
          <w:rFonts w:hint="eastAsia" w:ascii="Times New Roman" w:hAnsi="Times New Roman" w:eastAsia="仿宋_GB2312" w:cs="仿宋_GB2312"/>
          <w:b w:val="0"/>
          <w:bCs w:val="0"/>
          <w:i w:val="0"/>
          <w:caps w:val="0"/>
          <w:color w:val="000000" w:themeColor="text1"/>
          <w:spacing w:val="0"/>
          <w:kern w:val="2"/>
          <w:sz w:val="32"/>
          <w:szCs w:val="32"/>
          <w:highlight w:val="none"/>
          <w:shd w:val="clear" w:fill="FFFFFF"/>
          <w:lang w:val="en-US" w:eastAsia="zh-CN" w:bidi="ar-SA"/>
          <w14:textFill>
            <w14:solidFill>
              <w14:schemeClr w14:val="tx1"/>
            </w14:solidFill>
          </w14:textFill>
        </w:rPr>
      </w:pPr>
    </w:p>
    <w:sectPr>
      <w:footerReference r:id="rId3" w:type="default"/>
      <w:pgSz w:w="11906" w:h="16838"/>
      <w:pgMar w:top="2098" w:right="1474" w:bottom="1984" w:left="158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DejaVu Sans">
    <w:altName w:val="Segoe Print"/>
    <w:panose1 w:val="020B0603030804020204"/>
    <w:charset w:val="00"/>
    <w:family w:val="auto"/>
    <w:pitch w:val="default"/>
    <w:sig w:usb0="00000000" w:usb1="00000000" w:usb2="0A246029" w:usb3="0400200C" w:csb0="600001FF" w:csb1="DFFF0000"/>
  </w:font>
  <w:font w:name="Standard Symbols PS">
    <w:altName w:val="Segoe Print"/>
    <w:panose1 w:val="05050102010706020507"/>
    <w:charset w:val="00"/>
    <w:family w:val="auto"/>
    <w:pitch w:val="default"/>
    <w:sig w:usb0="00000000" w:usb1="00000000" w:usb2="00000000" w:usb3="00000000" w:csb0="00000001" w:csb1="00000000"/>
  </w:font>
  <w:font w:name="EU-B1X">
    <w:altName w:val="宋体"/>
    <w:panose1 w:val="03000509000000000000"/>
    <w:charset w:val="86"/>
    <w:family w:val="auto"/>
    <w:pitch w:val="default"/>
    <w:sig w:usb0="00000000" w:usb1="00000000" w:usb2="00000000" w:usb3="00000000" w:csb0="00040000" w:csb1="00000000"/>
  </w:font>
  <w:font w:name="Segoe Print">
    <w:panose1 w:val="02000600000000000000"/>
    <w:charset w:val="00"/>
    <w:family w:val="auto"/>
    <w:pitch w:val="default"/>
    <w:sig w:usb0="0000028F" w:usb1="00000000" w:usb2="00000000" w:usb3="00000000" w:csb0="2000009F" w:csb1="47010000"/>
  </w:font>
  <w:font w:name="方正大标宋简体">
    <w:altName w:val="微软雅黑"/>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Calibri Light">
    <w:panose1 w:val="020F0302020204030204"/>
    <w:charset w:val="00"/>
    <w:family w:val="auto"/>
    <w:pitch w:val="default"/>
    <w:sig w:usb0="E4002EFF" w:usb1="C000247B" w:usb2="00000009" w:usb3="00000000" w:csb0="200001FF" w:csb1="00000000"/>
  </w:font>
  <w:font w:name="新宋体">
    <w:panose1 w:val="02010609030101010101"/>
    <w:charset w:val="86"/>
    <w:family w:val="auto"/>
    <w:pitch w:val="default"/>
    <w:sig w:usb0="00000203" w:usb1="288F0000" w:usb2="00000006" w:usb3="00000000" w:csb0="00040001" w:csb1="00000000"/>
  </w:font>
  <w:font w:name="mp-quote">
    <w:altName w:val="Segoe Print"/>
    <w:panose1 w:val="00000000000000000000"/>
    <w:charset w:val="00"/>
    <w:family w:val="auto"/>
    <w:pitch w:val="default"/>
    <w:sig w:usb0="00000000" w:usb1="00000000" w:usb2="00000000" w:usb3="00000000" w:csb0="00000000" w:csb1="00000000"/>
  </w:font>
  <w:font w:name="汉仪中黑 197">
    <w:panose1 w:val="00020600040101010101"/>
    <w:charset w:val="86"/>
    <w:family w:val="auto"/>
    <w:pitch w:val="default"/>
    <w:sig w:usb0="A00002BF" w:usb1="18EF7CFA" w:usb2="00000016"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972DA6C"/>
    <w:multiLevelType w:val="singleLevel"/>
    <w:tmpl w:val="6972DA6C"/>
    <w:lvl w:ilvl="0" w:tentative="0">
      <w:start w:val="5"/>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mNzVjZTcyNDEyM2M5MmMyNWExOTUwMWYyYmY5MzAifQ=="/>
  </w:docVars>
  <w:rsids>
    <w:rsidRoot w:val="11AF18C8"/>
    <w:rsid w:val="009E1B88"/>
    <w:rsid w:val="08656765"/>
    <w:rsid w:val="0A530C9E"/>
    <w:rsid w:val="0BD11ED4"/>
    <w:rsid w:val="0C4F7B36"/>
    <w:rsid w:val="0C931A15"/>
    <w:rsid w:val="0D4D54AE"/>
    <w:rsid w:val="0D72249E"/>
    <w:rsid w:val="0F5D1789"/>
    <w:rsid w:val="10064556"/>
    <w:rsid w:val="100E6EE8"/>
    <w:rsid w:val="11AF18C8"/>
    <w:rsid w:val="13643FA5"/>
    <w:rsid w:val="141D2158"/>
    <w:rsid w:val="14A02B65"/>
    <w:rsid w:val="1A6A77C7"/>
    <w:rsid w:val="1DFC316C"/>
    <w:rsid w:val="1E141A06"/>
    <w:rsid w:val="1EEF9D2B"/>
    <w:rsid w:val="1EF567A3"/>
    <w:rsid w:val="1EFED2BC"/>
    <w:rsid w:val="1F6FA78F"/>
    <w:rsid w:val="1F97332B"/>
    <w:rsid w:val="1FFB391B"/>
    <w:rsid w:val="1FFDEF3C"/>
    <w:rsid w:val="258224EB"/>
    <w:rsid w:val="266C5C7B"/>
    <w:rsid w:val="26787E73"/>
    <w:rsid w:val="267A2F26"/>
    <w:rsid w:val="269D78CB"/>
    <w:rsid w:val="273D39B5"/>
    <w:rsid w:val="2846611F"/>
    <w:rsid w:val="297FAC76"/>
    <w:rsid w:val="2DA7DE71"/>
    <w:rsid w:val="2DF97147"/>
    <w:rsid w:val="2E621D42"/>
    <w:rsid w:val="2F3F7887"/>
    <w:rsid w:val="2F6F1AFF"/>
    <w:rsid w:val="2FAD00FC"/>
    <w:rsid w:val="2FD1CCE0"/>
    <w:rsid w:val="2FFFE3B9"/>
    <w:rsid w:val="30EC67D0"/>
    <w:rsid w:val="32D4256C"/>
    <w:rsid w:val="33FFB2B4"/>
    <w:rsid w:val="33FFC301"/>
    <w:rsid w:val="349B1412"/>
    <w:rsid w:val="3567E435"/>
    <w:rsid w:val="37699AAC"/>
    <w:rsid w:val="37F7E421"/>
    <w:rsid w:val="39FF13E5"/>
    <w:rsid w:val="3A3A523D"/>
    <w:rsid w:val="3AF2D530"/>
    <w:rsid w:val="3BAE3216"/>
    <w:rsid w:val="3BBB6E46"/>
    <w:rsid w:val="3BFD91A4"/>
    <w:rsid w:val="3C7E7E4E"/>
    <w:rsid w:val="3D4447B8"/>
    <w:rsid w:val="3DEE7C01"/>
    <w:rsid w:val="3EF6348E"/>
    <w:rsid w:val="3EFB61AD"/>
    <w:rsid w:val="3F37CDAB"/>
    <w:rsid w:val="3F7644E0"/>
    <w:rsid w:val="3F7FE9C5"/>
    <w:rsid w:val="3F9FBD48"/>
    <w:rsid w:val="3FAF0AAB"/>
    <w:rsid w:val="3FB6ADE4"/>
    <w:rsid w:val="3FBDE484"/>
    <w:rsid w:val="3FBF62C6"/>
    <w:rsid w:val="3FD79AE0"/>
    <w:rsid w:val="3FDFF999"/>
    <w:rsid w:val="3FFF26B4"/>
    <w:rsid w:val="40135E39"/>
    <w:rsid w:val="42D3B604"/>
    <w:rsid w:val="43404384"/>
    <w:rsid w:val="440C7F52"/>
    <w:rsid w:val="47424093"/>
    <w:rsid w:val="48FF5436"/>
    <w:rsid w:val="494D188A"/>
    <w:rsid w:val="4B9FE3C2"/>
    <w:rsid w:val="4BC9F5B5"/>
    <w:rsid w:val="4CC43728"/>
    <w:rsid w:val="4DEDA4D5"/>
    <w:rsid w:val="4DFD3EAA"/>
    <w:rsid w:val="4EDA594B"/>
    <w:rsid w:val="4FDFB8AE"/>
    <w:rsid w:val="4FEFE2F2"/>
    <w:rsid w:val="4FFBBC6E"/>
    <w:rsid w:val="506F30FD"/>
    <w:rsid w:val="511C113F"/>
    <w:rsid w:val="528460E3"/>
    <w:rsid w:val="54FBE57F"/>
    <w:rsid w:val="55BDBFC2"/>
    <w:rsid w:val="567444B5"/>
    <w:rsid w:val="5695086D"/>
    <w:rsid w:val="56FB4B67"/>
    <w:rsid w:val="57478A97"/>
    <w:rsid w:val="57AB6C62"/>
    <w:rsid w:val="57D7056B"/>
    <w:rsid w:val="58581B87"/>
    <w:rsid w:val="59DFD1AD"/>
    <w:rsid w:val="59FC080A"/>
    <w:rsid w:val="59FDCAFB"/>
    <w:rsid w:val="59FDDC8B"/>
    <w:rsid w:val="5ABF35A0"/>
    <w:rsid w:val="5ABF657F"/>
    <w:rsid w:val="5AF7DF0E"/>
    <w:rsid w:val="5BFFFB06"/>
    <w:rsid w:val="5CBA581A"/>
    <w:rsid w:val="5DBFF7BB"/>
    <w:rsid w:val="5DEBC819"/>
    <w:rsid w:val="5DEF33E6"/>
    <w:rsid w:val="5DFDAE03"/>
    <w:rsid w:val="5EFF46B3"/>
    <w:rsid w:val="5F4F50E3"/>
    <w:rsid w:val="5F586D45"/>
    <w:rsid w:val="5F6A595A"/>
    <w:rsid w:val="5F7D608F"/>
    <w:rsid w:val="5FA56183"/>
    <w:rsid w:val="5FAF2704"/>
    <w:rsid w:val="5FCF4F74"/>
    <w:rsid w:val="5FFC97AA"/>
    <w:rsid w:val="5FFE7671"/>
    <w:rsid w:val="619D03BA"/>
    <w:rsid w:val="62CD1B11"/>
    <w:rsid w:val="638353EE"/>
    <w:rsid w:val="63921198"/>
    <w:rsid w:val="640A5F1B"/>
    <w:rsid w:val="645F063B"/>
    <w:rsid w:val="65270946"/>
    <w:rsid w:val="65ECF1BF"/>
    <w:rsid w:val="663FF422"/>
    <w:rsid w:val="6698303C"/>
    <w:rsid w:val="673A1D87"/>
    <w:rsid w:val="676547E9"/>
    <w:rsid w:val="679E5140"/>
    <w:rsid w:val="67BA5745"/>
    <w:rsid w:val="67E43B26"/>
    <w:rsid w:val="67F29ACA"/>
    <w:rsid w:val="68BF7F55"/>
    <w:rsid w:val="697E7356"/>
    <w:rsid w:val="69D3BD7E"/>
    <w:rsid w:val="69FDEC77"/>
    <w:rsid w:val="6A2F16E2"/>
    <w:rsid w:val="6B2DDFAE"/>
    <w:rsid w:val="6B887A32"/>
    <w:rsid w:val="6BEF68BF"/>
    <w:rsid w:val="6C1C275E"/>
    <w:rsid w:val="6DD37989"/>
    <w:rsid w:val="6DFF5019"/>
    <w:rsid w:val="6E2A63F3"/>
    <w:rsid w:val="6F954844"/>
    <w:rsid w:val="6FAC3CC5"/>
    <w:rsid w:val="6FFA3357"/>
    <w:rsid w:val="72EF1E50"/>
    <w:rsid w:val="7421772C"/>
    <w:rsid w:val="74220566"/>
    <w:rsid w:val="74CBDF4F"/>
    <w:rsid w:val="74DC48C7"/>
    <w:rsid w:val="756E0866"/>
    <w:rsid w:val="75B7D147"/>
    <w:rsid w:val="75EF4115"/>
    <w:rsid w:val="75FF6493"/>
    <w:rsid w:val="76D35A89"/>
    <w:rsid w:val="77181135"/>
    <w:rsid w:val="77AFA716"/>
    <w:rsid w:val="77D0B492"/>
    <w:rsid w:val="77DBAFEE"/>
    <w:rsid w:val="77DDA94D"/>
    <w:rsid w:val="77F788A5"/>
    <w:rsid w:val="77FB2453"/>
    <w:rsid w:val="77FF16EB"/>
    <w:rsid w:val="790A1848"/>
    <w:rsid w:val="79EF8452"/>
    <w:rsid w:val="79F145A3"/>
    <w:rsid w:val="79F7DD72"/>
    <w:rsid w:val="7A5F3BC1"/>
    <w:rsid w:val="7A7F5900"/>
    <w:rsid w:val="7AFF3652"/>
    <w:rsid w:val="7B2856A6"/>
    <w:rsid w:val="7BBE7574"/>
    <w:rsid w:val="7BF565BA"/>
    <w:rsid w:val="7DB1BF67"/>
    <w:rsid w:val="7DEF83EB"/>
    <w:rsid w:val="7DFE5BF9"/>
    <w:rsid w:val="7DFFFB21"/>
    <w:rsid w:val="7E2F1AA9"/>
    <w:rsid w:val="7EDFCB2D"/>
    <w:rsid w:val="7F1FD345"/>
    <w:rsid w:val="7F367B70"/>
    <w:rsid w:val="7F4F628D"/>
    <w:rsid w:val="7F51DC5A"/>
    <w:rsid w:val="7F67750F"/>
    <w:rsid w:val="7F7D9FD8"/>
    <w:rsid w:val="7F7DB70C"/>
    <w:rsid w:val="7F7F00C0"/>
    <w:rsid w:val="7FAE99D6"/>
    <w:rsid w:val="7FAF0AA5"/>
    <w:rsid w:val="7FAFEE82"/>
    <w:rsid w:val="7FD52939"/>
    <w:rsid w:val="7FD601A3"/>
    <w:rsid w:val="7FDBE409"/>
    <w:rsid w:val="7FE136D8"/>
    <w:rsid w:val="7FE33C58"/>
    <w:rsid w:val="7FEA594E"/>
    <w:rsid w:val="7FEEB283"/>
    <w:rsid w:val="7FEFDACA"/>
    <w:rsid w:val="7FF3C5F5"/>
    <w:rsid w:val="7FF687BD"/>
    <w:rsid w:val="7FFB7FD5"/>
    <w:rsid w:val="7FFD5E27"/>
    <w:rsid w:val="7FFF5995"/>
    <w:rsid w:val="7FFF5F2A"/>
    <w:rsid w:val="8CE3C832"/>
    <w:rsid w:val="937FF006"/>
    <w:rsid w:val="9BED0BAC"/>
    <w:rsid w:val="9BFA0E74"/>
    <w:rsid w:val="9BFFF7EF"/>
    <w:rsid w:val="9EF5BCA0"/>
    <w:rsid w:val="9F7FF7AB"/>
    <w:rsid w:val="9F9F6465"/>
    <w:rsid w:val="A6EC7140"/>
    <w:rsid w:val="AFFE0488"/>
    <w:rsid w:val="B06F583F"/>
    <w:rsid w:val="B1FF84B5"/>
    <w:rsid w:val="B3F55B34"/>
    <w:rsid w:val="B4FD23C0"/>
    <w:rsid w:val="B7531CC1"/>
    <w:rsid w:val="B7BDA605"/>
    <w:rsid w:val="B7E713BB"/>
    <w:rsid w:val="B7FD55C5"/>
    <w:rsid w:val="B9D665D3"/>
    <w:rsid w:val="BA1AFE2A"/>
    <w:rsid w:val="BADFBF21"/>
    <w:rsid w:val="BB9F4788"/>
    <w:rsid w:val="BBB72A76"/>
    <w:rsid w:val="BBF6167E"/>
    <w:rsid w:val="BC773C7A"/>
    <w:rsid w:val="BCCA878B"/>
    <w:rsid w:val="BD17DCC4"/>
    <w:rsid w:val="BE1A4601"/>
    <w:rsid w:val="BEBBD86C"/>
    <w:rsid w:val="BEFB5364"/>
    <w:rsid w:val="BEFEB8D8"/>
    <w:rsid w:val="BF3F4EDD"/>
    <w:rsid w:val="BF9CA563"/>
    <w:rsid w:val="BFA4314D"/>
    <w:rsid w:val="BFCDB3D4"/>
    <w:rsid w:val="BFCE6BBB"/>
    <w:rsid w:val="BFCFD74B"/>
    <w:rsid w:val="BFD9F1B6"/>
    <w:rsid w:val="BFEE1E23"/>
    <w:rsid w:val="BFFB7E30"/>
    <w:rsid w:val="BFFF1E60"/>
    <w:rsid w:val="BFFF632F"/>
    <w:rsid w:val="BFFF6FDD"/>
    <w:rsid w:val="C7DAC264"/>
    <w:rsid w:val="CBFFD682"/>
    <w:rsid w:val="CE7E936C"/>
    <w:rsid w:val="CFCF6E7C"/>
    <w:rsid w:val="CFEE1893"/>
    <w:rsid w:val="CFEF45BC"/>
    <w:rsid w:val="D169A40B"/>
    <w:rsid w:val="D3F79759"/>
    <w:rsid w:val="D4FA0C26"/>
    <w:rsid w:val="D749D24F"/>
    <w:rsid w:val="D7B9167B"/>
    <w:rsid w:val="DAEFFD6D"/>
    <w:rsid w:val="DB7F579F"/>
    <w:rsid w:val="DBE9D810"/>
    <w:rsid w:val="DBF81840"/>
    <w:rsid w:val="DBFFB4A6"/>
    <w:rsid w:val="DDE6AEB6"/>
    <w:rsid w:val="DDE7507C"/>
    <w:rsid w:val="DDF61B0D"/>
    <w:rsid w:val="DE2FBA7D"/>
    <w:rsid w:val="DE7FF687"/>
    <w:rsid w:val="DEDFFAA1"/>
    <w:rsid w:val="DF7F1EB8"/>
    <w:rsid w:val="DF7FDB36"/>
    <w:rsid w:val="DF9EBCDA"/>
    <w:rsid w:val="DFA799CC"/>
    <w:rsid w:val="DFBF65D5"/>
    <w:rsid w:val="DFDA111C"/>
    <w:rsid w:val="DFFEBADC"/>
    <w:rsid w:val="DFFFF1D6"/>
    <w:rsid w:val="EB739338"/>
    <w:rsid w:val="EBCB7DBE"/>
    <w:rsid w:val="ED5FDAB5"/>
    <w:rsid w:val="EDD9EA72"/>
    <w:rsid w:val="EDFECB24"/>
    <w:rsid w:val="EEB55AE4"/>
    <w:rsid w:val="EEB7ADF7"/>
    <w:rsid w:val="EEFF5DC1"/>
    <w:rsid w:val="EF6517DA"/>
    <w:rsid w:val="EF779708"/>
    <w:rsid w:val="EF7B8356"/>
    <w:rsid w:val="F1BF809A"/>
    <w:rsid w:val="F20B63FA"/>
    <w:rsid w:val="F37F5B26"/>
    <w:rsid w:val="F3DF1E36"/>
    <w:rsid w:val="F3FB2AF5"/>
    <w:rsid w:val="F3FD79C6"/>
    <w:rsid w:val="F3FE4ED1"/>
    <w:rsid w:val="F57FE209"/>
    <w:rsid w:val="F6FFA011"/>
    <w:rsid w:val="F77EF1DF"/>
    <w:rsid w:val="F7BF29DD"/>
    <w:rsid w:val="F7C6E28F"/>
    <w:rsid w:val="F7DF3BA0"/>
    <w:rsid w:val="F7F38E38"/>
    <w:rsid w:val="F83DEEAF"/>
    <w:rsid w:val="F8B3BE0D"/>
    <w:rsid w:val="F8BD1FB4"/>
    <w:rsid w:val="F8FF8C9A"/>
    <w:rsid w:val="F9D74DC4"/>
    <w:rsid w:val="FADFE440"/>
    <w:rsid w:val="FAF6D81D"/>
    <w:rsid w:val="FB763391"/>
    <w:rsid w:val="FB9E5F7D"/>
    <w:rsid w:val="FBBB334B"/>
    <w:rsid w:val="FBEFE45A"/>
    <w:rsid w:val="FBF3E1DF"/>
    <w:rsid w:val="FCEAC882"/>
    <w:rsid w:val="FCFB72AD"/>
    <w:rsid w:val="FD7D6D59"/>
    <w:rsid w:val="FDA37375"/>
    <w:rsid w:val="FDB5CE77"/>
    <w:rsid w:val="FDEFC3FA"/>
    <w:rsid w:val="FDF36F88"/>
    <w:rsid w:val="FED7CB58"/>
    <w:rsid w:val="FEEF09AD"/>
    <w:rsid w:val="FEF2E319"/>
    <w:rsid w:val="FEF65CBA"/>
    <w:rsid w:val="FEF796C4"/>
    <w:rsid w:val="FEFD2F8A"/>
    <w:rsid w:val="FF5F1BC6"/>
    <w:rsid w:val="FF740761"/>
    <w:rsid w:val="FF7F4FCA"/>
    <w:rsid w:val="FF976806"/>
    <w:rsid w:val="FFAD5A1A"/>
    <w:rsid w:val="FFB6A4CE"/>
    <w:rsid w:val="FFBFB1B6"/>
    <w:rsid w:val="FFC5D43B"/>
    <w:rsid w:val="FFC6A744"/>
    <w:rsid w:val="FFDA0F91"/>
    <w:rsid w:val="FFEFBE9D"/>
    <w:rsid w:val="FFF77BB1"/>
    <w:rsid w:val="FFF7A4C2"/>
    <w:rsid w:val="FFFB156F"/>
    <w:rsid w:val="FFFF30E5"/>
    <w:rsid w:val="FFFF6986"/>
    <w:rsid w:val="FFFFAC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8">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qFormat/>
    <w:uiPriority w:val="0"/>
    <w:pPr>
      <w:spacing w:after="120" w:afterLines="0" w:afterAutospacing="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2023-01-22T23:45:00Z</dcterms:created>
  <dc:creator>诗人与熊</dc:creator>
  <cp:lastModifiedBy>Administrator</cp:lastModifiedBy>
  <cp:lastPrinted>2024-01-06T02:34:00Z</cp:lastPrinted>
  <dcterms:modified xsi:type="dcterms:W3CDTF">2026-01-26T07:40:20Z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y fmtid="{D5CDD505-2E9C-101B-9397-08002B2CF9AE}" pid="3" name="ICV">
    <vt:lpwstr>AA997AA0745C4772A4196D817533ED9B</vt:lpwstr>
  </property>
</Properties>
</file>