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sz w:val="44"/>
          <w:szCs w:val="44"/>
        </w:rPr>
      </w:pPr>
      <w:r>
        <w:t xml:space="preserve">    </w:t>
      </w:r>
      <w:r>
        <w:rPr>
          <w:sz w:val="54"/>
          <w:szCs w:val="54"/>
        </w:rPr>
        <w:t> </w:t>
      </w:r>
      <w:r>
        <w:rPr>
          <w:rFonts w:hint="eastAsia"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lang w:val="en-US" w:eastAsia="zh-CN"/>
        </w:rPr>
        <w:t>2020</w:t>
      </w:r>
      <w:r>
        <w:rPr>
          <w:rFonts w:hint="eastAsia" w:ascii="方正小标宋简体" w:hAnsi="方正小标宋简体" w:eastAsia="方正小标宋简体" w:cs="方正小标宋简体"/>
          <w:sz w:val="44"/>
          <w:szCs w:val="44"/>
        </w:rPr>
        <w:t>年张店区大数据中心政府信息公开工作年度报告</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sz w:val="44"/>
          <w:szCs w:val="44"/>
        </w:rPr>
      </w:pP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600" w:lineRule="exact"/>
        <w:ind w:left="0" w:firstLine="641"/>
        <w:textAlignment w:val="auto"/>
        <w:rPr>
          <w:sz w:val="32"/>
          <w:szCs w:val="32"/>
        </w:rPr>
      </w:pPr>
      <w:r>
        <w:rPr>
          <w:rFonts w:ascii="仿宋_GB2312" w:eastAsia="仿宋_GB2312" w:cs="仿宋_GB2312"/>
          <w:caps w:val="0"/>
          <w:color w:val="000000"/>
          <w:spacing w:val="0"/>
          <w:sz w:val="32"/>
          <w:szCs w:val="32"/>
          <w:shd w:val="clear" w:fill="FFFFFF"/>
        </w:rPr>
        <w:t>根据《中华人民共和国政府信息公开条例》及《国务院办公厅政府信息与政务公开办公室关于政府信息公开工作年度报告有关事项的通知》（国办公开办函〔</w:t>
      </w:r>
      <w:r>
        <w:rPr>
          <w:rFonts w:hint="eastAsia" w:ascii="仿宋_GB2312" w:eastAsia="仿宋_GB2312" w:cs="仿宋_GB2312"/>
          <w:caps w:val="0"/>
          <w:color w:val="000000"/>
          <w:spacing w:val="0"/>
          <w:sz w:val="32"/>
          <w:szCs w:val="32"/>
          <w:shd w:val="clear" w:fill="FFFFFF"/>
        </w:rPr>
        <w:t>2019〕60号）的要求，我中心结合工作实际，编制了张店区大数据中心</w:t>
      </w:r>
      <w:r>
        <w:rPr>
          <w:rFonts w:hint="eastAsia" w:ascii="仿宋_GB2312" w:eastAsia="仿宋_GB2312" w:cs="仿宋_GB2312"/>
          <w:caps w:val="0"/>
          <w:color w:val="000000"/>
          <w:spacing w:val="0"/>
          <w:sz w:val="32"/>
          <w:szCs w:val="32"/>
          <w:shd w:val="clear" w:fill="FFFFFF"/>
          <w:lang w:val="en-US" w:eastAsia="zh-CN"/>
        </w:rPr>
        <w:t>2020</w:t>
      </w:r>
      <w:r>
        <w:rPr>
          <w:rFonts w:hint="eastAsia" w:ascii="仿宋_GB2312" w:eastAsia="仿宋_GB2312" w:cs="仿宋_GB2312"/>
          <w:caps w:val="0"/>
          <w:color w:val="000000"/>
          <w:spacing w:val="0"/>
          <w:sz w:val="32"/>
          <w:szCs w:val="32"/>
          <w:shd w:val="clear" w:fill="FFFFFF"/>
        </w:rPr>
        <w:t>年政府信息公开工作报告。</w:t>
      </w:r>
      <w:r>
        <w:rPr>
          <w:rFonts w:hint="eastAsia" w:ascii="仿宋_GB2312" w:eastAsia="仿宋_GB2312" w:cs="仿宋_GB2312"/>
          <w:sz w:val="32"/>
          <w:szCs w:val="32"/>
        </w:rPr>
        <w:t>报告内容包括：总体情况、政府信息主动公开基本情况、主动公开政府信息情况、收到和处理政府信息公开申请情况、政府信息公开行政复议、行政诉讼情况、存在的主要问题及改进情况、政府信息公开工作存在的主要问题及改进情况、其他需报告的事项，共六部分。</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pPr>
      <w:r>
        <w:rPr>
          <w:rFonts w:hint="eastAsia" w:ascii="仿宋_GB2312" w:eastAsia="仿宋_GB2312" w:cs="仿宋_GB2312"/>
          <w:sz w:val="32"/>
          <w:szCs w:val="32"/>
        </w:rPr>
        <w:t>本年报所列数据的统计期限自</w:t>
      </w:r>
      <w:r>
        <w:rPr>
          <w:rFonts w:hint="eastAsia" w:ascii="仿宋_GB2312" w:eastAsia="仿宋_GB2312" w:cs="仿宋_GB2312"/>
          <w:sz w:val="32"/>
          <w:szCs w:val="32"/>
          <w:lang w:val="en-US" w:eastAsia="zh-CN"/>
        </w:rPr>
        <w:t>2020</w:t>
      </w:r>
      <w:r>
        <w:rPr>
          <w:rFonts w:hint="eastAsia" w:ascii="仿宋_GB2312" w:eastAsia="仿宋_GB2312" w:cs="仿宋_GB2312"/>
          <w:sz w:val="32"/>
          <w:szCs w:val="32"/>
        </w:rPr>
        <w:t>年1月</w:t>
      </w:r>
      <w:r>
        <w:rPr>
          <w:rFonts w:hint="eastAsia" w:ascii="仿宋_GB2312" w:eastAsia="仿宋_GB2312" w:cs="仿宋_GB2312"/>
          <w:sz w:val="32"/>
          <w:szCs w:val="32"/>
          <w:lang w:val="en-US" w:eastAsia="zh-CN"/>
        </w:rPr>
        <w:t>1</w:t>
      </w:r>
      <w:r>
        <w:rPr>
          <w:rFonts w:hint="eastAsia" w:ascii="仿宋_GB2312" w:eastAsia="仿宋_GB2312" w:cs="仿宋_GB2312"/>
          <w:sz w:val="32"/>
          <w:szCs w:val="32"/>
        </w:rPr>
        <w:t>日起至12月31日止。如对报告有任何疑问，请联系张店区大数据中心（联系电话：0533-2861679；邮编：255000；地址：</w:t>
      </w:r>
      <w:r>
        <w:rPr>
          <w:rFonts w:hint="eastAsia" w:ascii="仿宋_GB2312" w:eastAsia="仿宋_GB2312" w:cs="仿宋_GB2312"/>
          <w:caps w:val="0"/>
          <w:color w:val="000000"/>
          <w:spacing w:val="0"/>
          <w:sz w:val="32"/>
          <w:szCs w:val="32"/>
          <w:shd w:val="clear" w:fill="FFFFFF"/>
        </w:rPr>
        <w:t>张店区新村西路226号政务中心一楼101室；邮箱：zdqxwzxmsk@zb.shandong.cn</w:t>
      </w:r>
      <w:r>
        <w:rPr>
          <w:rFonts w:hint="eastAsia" w:ascii="仿宋_GB2312" w:eastAsia="仿宋_GB2312" w:cs="仿宋_GB2312"/>
          <w:sz w:val="32"/>
          <w:szCs w:val="32"/>
        </w:rPr>
        <w:t>）。</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rPr>
          <w:rFonts w:ascii="黑体" w:hAnsi="宋体" w:eastAsia="黑体" w:cs="黑体"/>
          <w:sz w:val="32"/>
          <w:szCs w:val="32"/>
        </w:rPr>
      </w:pPr>
      <w:r>
        <w:rPr>
          <w:rFonts w:ascii="黑体" w:hAnsi="宋体" w:eastAsia="黑体" w:cs="黑体"/>
          <w:sz w:val="32"/>
          <w:szCs w:val="32"/>
        </w:rPr>
        <w:t>一、政府信息公开工作基本情况</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pPr>
      <w:r>
        <w:rPr>
          <w:rFonts w:hint="eastAsia" w:ascii="楷体" w:hAnsi="楷体" w:eastAsia="楷体" w:cs="楷体"/>
          <w:sz w:val="32"/>
          <w:szCs w:val="32"/>
        </w:rPr>
        <w:t>（一）主动公开情况。</w:t>
      </w: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20</w:t>
      </w:r>
      <w:r>
        <w:rPr>
          <w:rFonts w:hint="eastAsia" w:ascii="仿宋_GB2312" w:eastAsia="仿宋_GB2312" w:cs="仿宋_GB2312"/>
          <w:sz w:val="32"/>
          <w:szCs w:val="32"/>
        </w:rPr>
        <w:t>年度我中心严格公开规定和程序，通过政府网站、新闻发布及新闻媒体等途径主动公开政府信息，保证信息公开的真实性和实效性。截至20</w:t>
      </w:r>
      <w:r>
        <w:rPr>
          <w:rFonts w:hint="eastAsia" w:ascii="仿宋_GB2312" w:eastAsia="仿宋_GB2312" w:cs="仿宋_GB2312"/>
          <w:sz w:val="32"/>
          <w:szCs w:val="32"/>
          <w:lang w:val="en-US" w:eastAsia="zh-CN"/>
        </w:rPr>
        <w:t>20</w:t>
      </w:r>
      <w:r>
        <w:rPr>
          <w:rFonts w:hint="eastAsia" w:ascii="仿宋_GB2312" w:eastAsia="仿宋_GB2312" w:cs="仿宋_GB2312"/>
          <w:sz w:val="32"/>
          <w:szCs w:val="32"/>
        </w:rPr>
        <w:t xml:space="preserve"> 年12月31日，我中心在张店区人民政府网政务信息公开平台共累计主动公开政府信息</w:t>
      </w:r>
      <w:r>
        <w:rPr>
          <w:rFonts w:hint="eastAsia" w:ascii="仿宋_GB2312" w:eastAsia="仿宋_GB2312" w:cs="仿宋_GB2312"/>
          <w:sz w:val="32"/>
          <w:szCs w:val="32"/>
          <w:lang w:val="en-US" w:eastAsia="zh-CN"/>
        </w:rPr>
        <w:t>27</w:t>
      </w:r>
      <w:r>
        <w:rPr>
          <w:rFonts w:hint="eastAsia" w:ascii="仿宋_GB2312" w:eastAsia="仿宋_GB2312" w:cs="仿宋_GB2312"/>
          <w:sz w:val="32"/>
          <w:szCs w:val="32"/>
        </w:rPr>
        <w:t>条，其中我中心的工作动态类8条；建议提案办理</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条；</w:t>
      </w:r>
      <w:r>
        <w:rPr>
          <w:rFonts w:hint="eastAsia" w:ascii="仿宋_GB2312" w:eastAsia="仿宋_GB2312" w:cs="仿宋_GB2312"/>
          <w:sz w:val="32"/>
          <w:szCs w:val="32"/>
          <w:lang w:eastAsia="zh-CN"/>
        </w:rPr>
        <w:t>财政信息</w:t>
      </w:r>
      <w:r>
        <w:rPr>
          <w:rFonts w:hint="eastAsia" w:ascii="仿宋_GB2312" w:eastAsia="仿宋_GB2312" w:cs="仿宋_GB2312"/>
          <w:sz w:val="32"/>
          <w:szCs w:val="32"/>
          <w:lang w:val="en-US" w:eastAsia="zh-CN"/>
        </w:rPr>
        <w:t>1条；履职依据1条；政务公开保障机制2条；政策解读2条；政府信息公开指南1条；政府信息公开年报1条；</w:t>
      </w:r>
      <w:r>
        <w:rPr>
          <w:rFonts w:hint="eastAsia" w:ascii="仿宋_GB2312" w:eastAsia="仿宋_GB2312" w:cs="仿宋_GB2312"/>
          <w:sz w:val="32"/>
          <w:szCs w:val="32"/>
        </w:rPr>
        <w:t>机构职能</w:t>
      </w:r>
      <w:r>
        <w:rPr>
          <w:rFonts w:hint="eastAsia" w:ascii="仿宋_GB2312" w:eastAsia="仿宋_GB2312" w:cs="仿宋_GB2312"/>
          <w:sz w:val="32"/>
          <w:szCs w:val="32"/>
          <w:lang w:val="en-US" w:eastAsia="zh-CN"/>
        </w:rPr>
        <w:t>4</w:t>
      </w:r>
      <w:r>
        <w:rPr>
          <w:rFonts w:hint="eastAsia" w:ascii="仿宋_GB2312" w:eastAsia="仿宋_GB2312" w:cs="仿宋_GB2312"/>
          <w:sz w:val="32"/>
          <w:szCs w:val="32"/>
        </w:rPr>
        <w:t>条。本年度我中心无任何行政许可，行政处罚，行政强制，行政事业性收费等情况 。             </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rPr>
          <w:rFonts w:ascii="楷体_GB2312" w:eastAsia="楷体_GB2312" w:cs="楷体_GB2312"/>
          <w:sz w:val="32"/>
          <w:szCs w:val="32"/>
        </w:rPr>
      </w:pPr>
      <w:r>
        <w:rPr>
          <w:rFonts w:hint="eastAsia" w:ascii="楷体_GB2312" w:eastAsia="楷体_GB2312" w:cs="楷体_GB2312"/>
          <w:sz w:val="32"/>
          <w:szCs w:val="32"/>
        </w:rPr>
        <w:t>（二）依申请公开情况。</w:t>
      </w:r>
      <w:r>
        <w:rPr>
          <w:rFonts w:hint="eastAsia" w:ascii="仿宋_GB2312" w:hAnsi="仿宋_GB2312" w:eastAsia="仿宋_GB2312" w:cs="仿宋_GB2312"/>
          <w:sz w:val="32"/>
          <w:szCs w:val="32"/>
        </w:rPr>
        <w:t>2020年度无依申请公开的信息。</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eastAsia="zh-CN"/>
        </w:rPr>
        <w:t>组织管理</w:t>
      </w:r>
      <w:r>
        <w:rPr>
          <w:rFonts w:hint="eastAsia" w:ascii="楷体_GB2312" w:hAnsi="楷体_GB2312" w:eastAsia="楷体_GB2312" w:cs="楷体_GB2312"/>
          <w:sz w:val="32"/>
          <w:szCs w:val="32"/>
        </w:rPr>
        <w:t>情况</w:t>
      </w:r>
      <w:r>
        <w:rPr>
          <w:rFonts w:hint="eastAsia" w:ascii="楷体" w:hAnsi="楷体" w:eastAsia="楷体" w:cs="楷体"/>
          <w:sz w:val="32"/>
          <w:szCs w:val="32"/>
        </w:rPr>
        <w:t>。</w:t>
      </w:r>
      <w:r>
        <w:rPr>
          <w:rFonts w:hint="eastAsia" w:ascii="仿宋_GB2312" w:eastAsia="仿宋_GB2312" w:cs="仿宋_GB2312"/>
          <w:sz w:val="32"/>
          <w:szCs w:val="32"/>
        </w:rPr>
        <w:t>成立了由主任任组长，分管副科级干部为副组长的政务公开工作领导小组。明确一名综合科人员专门负责日常公开工作。为切实加强对政务公开工作的领导，确保各项工作任务完成，</w:t>
      </w:r>
    </w:p>
    <w:p>
      <w:pPr>
        <w:pStyle w:val="2"/>
        <w:keepNext w:val="0"/>
        <w:keepLines w:val="0"/>
        <w:pageBreakBefore w:val="0"/>
        <w:kinsoku/>
        <w:wordWrap/>
        <w:overflowPunct/>
        <w:topLinePunct w:val="0"/>
        <w:autoSpaceDE/>
        <w:autoSpaceDN/>
        <w:bidi w:val="0"/>
        <w:adjustRightInd/>
        <w:snapToGrid/>
        <w:spacing w:beforeAutospacing="0" w:afterAutospacing="0" w:line="564" w:lineRule="exact"/>
        <w:ind w:firstLine="640"/>
        <w:textAlignment w:val="auto"/>
        <w:rPr>
          <w:rFonts w:ascii="仿宋_GB2312" w:hAnsi="仿宋_GB2312" w:eastAsia="仿宋_GB2312" w:cs="仿宋_GB2312"/>
          <w:kern w:val="2"/>
          <w:sz w:val="32"/>
          <w:szCs w:val="32"/>
        </w:rPr>
      </w:pPr>
      <w:r>
        <w:rPr>
          <w:rFonts w:hint="eastAsia" w:ascii="楷体_GB2312" w:eastAsia="楷体_GB2312" w:cs="楷体_GB2312"/>
          <w:sz w:val="32"/>
          <w:szCs w:val="32"/>
        </w:rPr>
        <w:t>（四）平台建设、机构建设情况。</w:t>
      </w:r>
      <w:r>
        <w:rPr>
          <w:rFonts w:hint="eastAsia" w:ascii="仿宋_GB2312" w:hAnsi="仿宋_GB2312" w:eastAsia="仿宋_GB2312" w:cs="仿宋_GB2312"/>
          <w:sz w:val="32"/>
          <w:szCs w:val="32"/>
        </w:rPr>
        <w:t>通</w:t>
      </w:r>
      <w:r>
        <w:rPr>
          <w:rFonts w:hint="eastAsia" w:ascii="仿宋_GB2312" w:hAnsi="仿宋_GB2312" w:eastAsia="仿宋_GB2312" w:cs="仿宋_GB2312"/>
          <w:kern w:val="2"/>
          <w:sz w:val="32"/>
          <w:szCs w:val="32"/>
        </w:rPr>
        <w:t>过淄博市张店区人民政府门户网站公开政务信息，通过“融公开工作台”开设政府信息公开指南、政府信息公开制度、法定主动公开内容、政府信息公开年报、政府信息依申请公开等五大板块公开业务信息，通过中心宣传公告栏公开政策信息，并落实专人认真做好专栏的日常维护工作。</w:t>
      </w:r>
    </w:p>
    <w:p>
      <w:pPr>
        <w:keepNext w:val="0"/>
        <w:keepLines w:val="0"/>
        <w:pageBreakBefore w:val="0"/>
        <w:kinsoku/>
        <w:wordWrap/>
        <w:overflowPunct/>
        <w:topLinePunct w:val="0"/>
        <w:autoSpaceDE/>
        <w:autoSpaceDN/>
        <w:bidi w:val="0"/>
        <w:adjustRightInd/>
        <w:snapToGrid/>
        <w:spacing w:line="564" w:lineRule="exact"/>
        <w:ind w:firstLine="640" w:firstLineChars="200"/>
        <w:textAlignment w:val="auto"/>
        <w:rPr>
          <w:rFonts w:ascii="仿宋_GB2312" w:hAnsi="仿宋_GB2312" w:eastAsia="仿宋_GB2312" w:cs="仿宋_GB2312"/>
          <w:sz w:val="32"/>
          <w:szCs w:val="32"/>
        </w:rPr>
      </w:pPr>
      <w:r>
        <w:rPr>
          <w:rFonts w:hint="eastAsia" w:ascii="楷体" w:hAnsi="楷体" w:eastAsia="楷体" w:cs="楷体"/>
          <w:kern w:val="0"/>
          <w:sz w:val="32"/>
          <w:szCs w:val="32"/>
        </w:rPr>
        <w:t>（</w:t>
      </w:r>
      <w:r>
        <w:rPr>
          <w:rFonts w:hint="eastAsia" w:ascii="楷体_GB2312" w:eastAsia="楷体_GB2312" w:cs="楷体_GB2312" w:hAnsiTheme="minorHAnsi"/>
          <w:kern w:val="0"/>
          <w:sz w:val="32"/>
          <w:szCs w:val="32"/>
          <w:lang w:val="en-US" w:eastAsia="zh-CN" w:bidi="ar"/>
        </w:rPr>
        <w:t>五）工作考核、社会评议和责任追究结果情况等监督保障情况。</w:t>
      </w:r>
      <w:r>
        <w:rPr>
          <w:rFonts w:hint="eastAsia" w:ascii="仿宋_GB2312" w:hAnsi="仿宋_GB2312" w:eastAsia="仿宋_GB2312" w:cs="仿宋_GB2312"/>
          <w:sz w:val="32"/>
          <w:szCs w:val="32"/>
        </w:rPr>
        <w:t>在淄博市张店区政府门户网站设立机构职能、决策事项目录、职责边界清单等栏目，自觉接受社会对我中心开展</w:t>
      </w:r>
      <w:r>
        <w:rPr>
          <w:rFonts w:hint="eastAsia" w:ascii="仿宋_GB2312" w:hAnsi="仿宋_GB2312" w:eastAsia="仿宋_GB2312" w:cs="仿宋_GB2312"/>
          <w:sz w:val="32"/>
          <w:szCs w:val="32"/>
          <w:lang w:eastAsia="zh-CN"/>
        </w:rPr>
        <w:t>大数据</w:t>
      </w:r>
      <w:r>
        <w:rPr>
          <w:rFonts w:hint="eastAsia" w:ascii="仿宋_GB2312" w:hAnsi="仿宋_GB2312" w:eastAsia="仿宋_GB2312" w:cs="仿宋_GB2312"/>
          <w:sz w:val="32"/>
          <w:szCs w:val="32"/>
        </w:rPr>
        <w:t>工作的监督，目前未收到不良评议。</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楷体_GB2312" w:eastAsia="楷体_GB2312" w:cs="楷体_GB2312"/>
          <w:sz w:val="32"/>
          <w:szCs w:val="32"/>
        </w:rPr>
        <w:t>（六）建议提案办理结果公开情况。</w:t>
      </w:r>
      <w:r>
        <w:rPr>
          <w:rFonts w:hint="eastAsia" w:ascii="仿宋_GB2312" w:hAnsi="仿宋_GB2312" w:eastAsia="仿宋_GB2312" w:cs="仿宋_GB2312"/>
          <w:sz w:val="32"/>
          <w:szCs w:val="32"/>
        </w:rPr>
        <w:t>2020年共承办人大建议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件（淄博市张店区十七届人大四次会议第37号建议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区十七届人民代表大会第四次会议第28号建议</w:t>
      </w:r>
      <w:r>
        <w:rPr>
          <w:rFonts w:hint="eastAsia" w:ascii="仿宋_GB2312" w:hAnsi="仿宋_GB2312" w:eastAsia="仿宋_GB2312" w:cs="仿宋_GB2312"/>
          <w:sz w:val="32"/>
          <w:szCs w:val="32"/>
        </w:rPr>
        <w:t>），政协提案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区政协十二届四次会议第98号提案、</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区政协十二届四次会议第9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号提案、</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区政协十二届四次会议第</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8号提案、</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区政协十二届四次会议第</w:t>
      </w:r>
      <w:r>
        <w:rPr>
          <w:rFonts w:hint="eastAsia" w:ascii="仿宋_GB2312" w:hAnsi="仿宋_GB2312" w:eastAsia="仿宋_GB2312" w:cs="仿宋_GB2312"/>
          <w:sz w:val="32"/>
          <w:szCs w:val="32"/>
          <w:lang w:val="en-US" w:eastAsia="zh-CN"/>
        </w:rPr>
        <w:t>104</w:t>
      </w:r>
      <w:r>
        <w:rPr>
          <w:rFonts w:hint="eastAsia" w:ascii="仿宋_GB2312" w:hAnsi="仿宋_GB2312" w:eastAsia="仿宋_GB2312" w:cs="仿宋_GB2312"/>
          <w:sz w:val="32"/>
          <w:szCs w:val="32"/>
          <w:lang w:eastAsia="zh-CN"/>
        </w:rPr>
        <w:t>号提案、</w:t>
      </w:r>
      <w:r>
        <w:rPr>
          <w:rFonts w:hint="eastAsia" w:ascii="仿宋_GB2312" w:hAnsi="仿宋_GB2312" w:eastAsia="仿宋_GB2312" w:cs="仿宋_GB2312"/>
          <w:sz w:val="32"/>
          <w:szCs w:val="32"/>
        </w:rPr>
        <w:t>淄博市张店</w:t>
      </w:r>
      <w:r>
        <w:rPr>
          <w:rFonts w:hint="eastAsia" w:ascii="仿宋_GB2312" w:hAnsi="仿宋_GB2312" w:eastAsia="仿宋_GB2312" w:cs="仿宋_GB2312"/>
          <w:sz w:val="32"/>
          <w:szCs w:val="32"/>
          <w:lang w:eastAsia="zh-CN"/>
        </w:rPr>
        <w:t>区政协十二届四次会议第</w:t>
      </w:r>
      <w:r>
        <w:rPr>
          <w:rFonts w:hint="eastAsia" w:ascii="仿宋_GB2312" w:hAnsi="仿宋_GB2312" w:eastAsia="仿宋_GB2312" w:cs="仿宋_GB2312"/>
          <w:sz w:val="32"/>
          <w:szCs w:val="32"/>
          <w:lang w:val="en-US" w:eastAsia="zh-CN"/>
        </w:rPr>
        <w:t>102</w:t>
      </w:r>
      <w:r>
        <w:rPr>
          <w:rFonts w:hint="eastAsia" w:ascii="仿宋_GB2312" w:hAnsi="仿宋_GB2312" w:eastAsia="仿宋_GB2312" w:cs="仿宋_GB2312"/>
          <w:sz w:val="32"/>
          <w:szCs w:val="32"/>
          <w:lang w:eastAsia="zh-CN"/>
        </w:rPr>
        <w:t>号提案）</w:t>
      </w:r>
      <w:r>
        <w:rPr>
          <w:rFonts w:hint="eastAsia" w:ascii="仿宋_GB2312" w:hAnsi="仿宋_GB2312" w:eastAsia="仿宋_GB2312" w:cs="仿宋_GB2312"/>
          <w:sz w:val="32"/>
          <w:szCs w:val="32"/>
        </w:rPr>
        <w:t>，均已按期办理完毕，及时将办理结果反馈至相应人大代表</w:t>
      </w:r>
      <w:r>
        <w:rPr>
          <w:rFonts w:hint="eastAsia" w:ascii="仿宋_GB2312" w:hAnsi="仿宋_GB2312" w:eastAsia="仿宋_GB2312" w:cs="仿宋_GB2312"/>
          <w:sz w:val="32"/>
          <w:szCs w:val="32"/>
          <w:lang w:eastAsia="zh-CN"/>
        </w:rPr>
        <w:t>和政协委员</w:t>
      </w:r>
      <w:r>
        <w:rPr>
          <w:rFonts w:hint="eastAsia" w:ascii="仿宋_GB2312" w:hAnsi="仿宋_GB2312" w:eastAsia="仿宋_GB2312" w:cs="仿宋_GB2312"/>
          <w:sz w:val="32"/>
          <w:szCs w:val="32"/>
        </w:rPr>
        <w:t>，并按规定予以主动公开。</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textAlignment w:val="auto"/>
      </w:pPr>
      <w:r>
        <w:rPr>
          <w:rFonts w:hint="eastAsia" w:ascii="仿宋_GB2312" w:eastAsia="仿宋_GB2312" w:cs="仿宋_GB2312"/>
          <w:sz w:val="32"/>
          <w:szCs w:val="32"/>
        </w:rPr>
        <w:t xml:space="preserve">        </w:t>
      </w:r>
      <w:r>
        <w:rPr>
          <w:rFonts w:hint="eastAsia" w:ascii="黑体" w:hAnsi="宋体" w:eastAsia="黑体" w:cs="黑体"/>
          <w:sz w:val="32"/>
          <w:szCs w:val="32"/>
        </w:rPr>
        <w:t>二、主动公开政府信息情况</w:t>
      </w:r>
    </w:p>
    <w:tbl>
      <w:tblPr>
        <w:tblStyle w:val="3"/>
        <w:tblW w:w="8715" w:type="dxa"/>
        <w:tblCellSpacing w:w="15" w:type="dxa"/>
        <w:tblInd w:w="-32"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374"/>
        <w:gridCol w:w="421"/>
        <w:gridCol w:w="1837"/>
        <w:gridCol w:w="2050"/>
        <w:gridCol w:w="2033"/>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4" w:hRule="atLeast"/>
          <w:tblCellSpacing w:w="15" w:type="dxa"/>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560" w:lineRule="exact"/>
              <w:textAlignment w:val="auto"/>
            </w:pPr>
            <w:r>
              <w:rPr>
                <w:rFonts w:hint="eastAsia" w:ascii="仿宋_GB2312" w:eastAsia="仿宋_GB2312" w:cs="仿宋_GB2312"/>
                <w:sz w:val="32"/>
                <w:szCs w:val="32"/>
              </w:rPr>
              <w:t>   </w:t>
            </w:r>
            <w:r>
              <w:rPr>
                <w:rFonts w:hint="eastAsia" w:ascii="仿宋_GB2312" w:eastAsia="仿宋_GB2312" w:cs="仿宋_GB2312"/>
                <w:sz w:val="24"/>
                <w:szCs w:val="24"/>
              </w:rPr>
              <w:t>第二十条第（一）项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90"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本年新制作数量</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本年新公开数量</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对外公开总数量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59"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规章</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560" w:lineRule="exact"/>
              <w:jc w:val="center"/>
              <w:textAlignment w:val="auto"/>
            </w:pPr>
            <w:r>
              <w:rPr>
                <w:rFonts w:hint="eastAsia" w:ascii="仿宋_GB2312" w:eastAsia="仿宋_GB2312" w:cs="仿宋_GB2312"/>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560" w:lineRule="exact"/>
              <w:jc w:val="center"/>
              <w:textAlignment w:val="auto"/>
            </w:pPr>
            <w:r>
              <w:rPr>
                <w:rFonts w:hint="eastAsia" w:ascii="仿宋_GB2312" w:eastAsia="仿宋_GB2312" w:cs="仿宋_GB2312"/>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75"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规范性文件</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80" w:hRule="atLeast"/>
          <w:tblCellSpacing w:w="15" w:type="dxa"/>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第二十条第（五）项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510"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上一年项目数量</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本年增/减</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处理决定数量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行政许可</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555"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其他对外管理服务事项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95" w:hRule="atLeast"/>
          <w:tblCellSpacing w:w="15" w:type="dxa"/>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第二十条第（六）项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上一年项目数量</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本年增/减</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处理决定数量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35"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行政处罚</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　</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　</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05"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行政强制</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　</w:t>
            </w:r>
          </w:p>
        </w:tc>
        <w:tc>
          <w:tcPr>
            <w:tcW w:w="1988"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left"/>
              <w:textAlignment w:val="auto"/>
            </w:pPr>
            <w:r>
              <w:rPr>
                <w:rFonts w:hint="eastAsia" w:ascii="仿宋_GB2312" w:eastAsia="仿宋_GB2312" w:cs="仿宋_GB2312"/>
                <w:sz w:val="24"/>
                <w:szCs w:val="24"/>
              </w:rPr>
              <w:t>0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80" w:hRule="atLeast"/>
          <w:tblCellSpacing w:w="15" w:type="dxa"/>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第二十条第（八）项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上一年项目数量</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本年增/减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35" w:hRule="atLeast"/>
          <w:tblCellSpacing w:w="15" w:type="dxa"/>
        </w:trPr>
        <w:tc>
          <w:tcPr>
            <w:tcW w:w="2329"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行政事业性收费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80" w:hRule="atLeast"/>
          <w:tblCellSpacing w:w="15" w:type="dxa"/>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第二十条第（九）项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20" w:hRule="atLeast"/>
          <w:tblCellSpacing w:w="15" w:type="dxa"/>
        </w:trPr>
        <w:tc>
          <w:tcPr>
            <w:tcW w:w="275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信息内容</w:t>
            </w:r>
          </w:p>
        </w:tc>
        <w:tc>
          <w:tcPr>
            <w:tcW w:w="1807"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采购项目数量</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采购总金额</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465" w:hRule="atLeast"/>
          <w:tblCellSpacing w:w="15" w:type="dxa"/>
        </w:trPr>
        <w:tc>
          <w:tcPr>
            <w:tcW w:w="275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420"/>
              <w:jc w:val="center"/>
              <w:textAlignment w:val="auto"/>
            </w:pPr>
            <w:r>
              <w:rPr>
                <w:rFonts w:hint="eastAsia" w:ascii="仿宋_GB2312" w:eastAsia="仿宋_GB2312" w:cs="仿宋_GB2312"/>
                <w:sz w:val="24"/>
                <w:szCs w:val="24"/>
              </w:rPr>
              <w:t>政府集中采购</w:t>
            </w:r>
          </w:p>
        </w:tc>
        <w:tc>
          <w:tcPr>
            <w:tcW w:w="1807"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0万</w:t>
            </w:r>
          </w:p>
        </w:tc>
      </w:tr>
    </w:tbl>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995" w:firstLine="0"/>
        <w:textAlignment w:val="auto"/>
      </w:pPr>
      <w:r>
        <w:rPr>
          <w:rFonts w:hint="eastAsia" w:ascii="黑体" w:hAnsi="宋体" w:eastAsia="黑体" w:cs="黑体"/>
          <w:sz w:val="32"/>
          <w:szCs w:val="32"/>
        </w:rPr>
        <w:t>三、收到和处理政府信息公开申请情况</w:t>
      </w:r>
    </w:p>
    <w:tbl>
      <w:tblPr>
        <w:tblStyle w:val="3"/>
        <w:tblW w:w="9075" w:type="dxa"/>
        <w:tblCellSpacing w:w="15" w:type="dxa"/>
        <w:tblInd w:w="-32"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5"/>
        <w:gridCol w:w="1271"/>
        <w:gridCol w:w="2966"/>
        <w:gridCol w:w="520"/>
        <w:gridCol w:w="584"/>
        <w:gridCol w:w="584"/>
        <w:gridCol w:w="584"/>
        <w:gridCol w:w="584"/>
        <w:gridCol w:w="558"/>
        <w:gridCol w:w="649"/>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97" w:hRule="atLeast"/>
          <w:tblCellSpacing w:w="15" w:type="dxa"/>
        </w:trPr>
        <w:tc>
          <w:tcPr>
            <w:tcW w:w="4975" w:type="dxa"/>
            <w:gridSpan w:val="3"/>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（本列数据的勾稽关系为：第一项加第二项之和，等于第三项加第四项之和）</w:t>
            </w:r>
          </w:p>
        </w:tc>
        <w:tc>
          <w:tcPr>
            <w:tcW w:w="4010" w:type="dxa"/>
            <w:gridSpan w:val="7"/>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申请人情况</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20" w:hRule="atLeast"/>
          <w:tblCellSpacing w:w="15" w:type="dxa"/>
        </w:trPr>
        <w:tc>
          <w:tcPr>
            <w:tcW w:w="497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475"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自</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然</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人</w:t>
            </w:r>
          </w:p>
        </w:tc>
        <w:tc>
          <w:tcPr>
            <w:tcW w:w="2869" w:type="dxa"/>
            <w:gridSpan w:val="5"/>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法人或其他组织</w:t>
            </w:r>
          </w:p>
        </w:tc>
        <w:tc>
          <w:tcPr>
            <w:tcW w:w="606"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总计</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1125" w:hRule="atLeast"/>
          <w:tblCellSpacing w:w="15" w:type="dxa"/>
        </w:trPr>
        <w:tc>
          <w:tcPr>
            <w:tcW w:w="497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47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商业企业</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科研机构</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社会公益组织</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法律服务机构</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其他</w:t>
            </w:r>
          </w:p>
        </w:tc>
        <w:tc>
          <w:tcPr>
            <w:tcW w:w="606"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975"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一、本年新收政府信息公开申请数量</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975"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二、上年结转政府信息公开申请数量</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0"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三、本年度办理结果</w:t>
            </w:r>
          </w:p>
        </w:tc>
        <w:tc>
          <w:tcPr>
            <w:tcW w:w="4245"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（一）予以公开</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4245"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（二）部分公开（区分处理的，只计这一情形，不计其他情形）</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（三）不予公开</w:t>
            </w: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1.属于国家秘密</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2.其他法律行政法规禁止公开</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3.危及“三安全一稳定”</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4.保护第三方合法权益</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5.属于三类内部事务信息</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6.属于四类过程性信息</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7.属于行政执法案卷</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8.属于行政查询事项</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1036"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（四）无法提供</w:t>
            </w: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1.本机关不掌握相关政府信息</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1036"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right="0"/>
              <w:jc w:val="left"/>
              <w:textAlignment w:val="auto"/>
            </w:pPr>
            <w:r>
              <w:rPr>
                <w:rFonts w:hint="eastAsia" w:ascii="仿宋_GB2312" w:eastAsia="仿宋_GB2312" w:cs="仿宋_GB2312"/>
                <w:sz w:val="24"/>
                <w:szCs w:val="24"/>
              </w:rPr>
              <w:t>2.没有现成信息需要另行制作</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3.补正后申请内容仍不明确</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（五）不予处理</w:t>
            </w: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1.信访举报投诉类申请</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2.重复申请</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3.要求提供公开出版物</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4.无正当理由大量反复申请</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1245"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2970"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4"/>
                <w:szCs w:val="24"/>
              </w:rPr>
              <w:t>5.要求行政机关确认或重新出具已获取信息</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4245"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（六）其他处理</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0" w:hRule="atLeast"/>
          <w:tblCellSpacing w:w="15" w:type="dxa"/>
        </w:trPr>
        <w:tc>
          <w:tcPr>
            <w:tcW w:w="700"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4245"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（七）总计</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975"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四、结转下年度继续办理</w:t>
            </w:r>
          </w:p>
        </w:tc>
        <w:tc>
          <w:tcPr>
            <w:tcW w:w="47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55"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529"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c>
          <w:tcPr>
            <w:tcW w:w="606"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4"/>
                <w:szCs w:val="24"/>
              </w:rPr>
              <w:t>0</w:t>
            </w:r>
          </w:p>
        </w:tc>
      </w:tr>
    </w:tbl>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995" w:firstLine="0"/>
        <w:textAlignment w:val="auto"/>
      </w:pPr>
      <w:r>
        <w:rPr>
          <w:rFonts w:hint="eastAsia" w:ascii="黑体" w:hAnsi="宋体" w:eastAsia="黑体" w:cs="黑体"/>
          <w:sz w:val="32"/>
          <w:szCs w:val="32"/>
        </w:rPr>
        <w:t>四、政府信息公开行政复议、行政诉讼情况</w:t>
      </w:r>
    </w:p>
    <w:tbl>
      <w:tblPr>
        <w:tblStyle w:val="3"/>
        <w:tblW w:w="9075" w:type="dxa"/>
        <w:jc w:val="center"/>
        <w:tblCellSpacing w:w="15"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17"/>
        <w:gridCol w:w="602"/>
        <w:gridCol w:w="602"/>
        <w:gridCol w:w="602"/>
        <w:gridCol w:w="653"/>
        <w:gridCol w:w="564"/>
        <w:gridCol w:w="602"/>
        <w:gridCol w:w="602"/>
        <w:gridCol w:w="602"/>
        <w:gridCol w:w="602"/>
        <w:gridCol w:w="602"/>
        <w:gridCol w:w="602"/>
        <w:gridCol w:w="602"/>
        <w:gridCol w:w="603"/>
        <w:gridCol w:w="618"/>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95" w:hRule="atLeast"/>
          <w:tblCellSpacing w:w="15" w:type="dxa"/>
          <w:jc w:val="center"/>
        </w:trPr>
        <w:tc>
          <w:tcPr>
            <w:tcW w:w="3031" w:type="dxa"/>
            <w:gridSpan w:val="5"/>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560" w:lineRule="exact"/>
              <w:jc w:val="left"/>
              <w:textAlignment w:val="auto"/>
            </w:pPr>
            <w:r>
              <w:rPr>
                <w:rFonts w:hint="eastAsia" w:ascii="仿宋_GB2312" w:eastAsia="仿宋_GB2312" w:cs="仿宋_GB2312"/>
                <w:sz w:val="21"/>
                <w:szCs w:val="21"/>
              </w:rPr>
              <w:t>行政复议</w:t>
            </w:r>
          </w:p>
        </w:tc>
        <w:tc>
          <w:tcPr>
            <w:tcW w:w="5954" w:type="dxa"/>
            <w:gridSpan w:val="10"/>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行政诉讼</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15" w:type="dxa"/>
          <w:jc w:val="center"/>
        </w:trPr>
        <w:tc>
          <w:tcPr>
            <w:tcW w:w="57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维持</w:t>
            </w:r>
          </w:p>
        </w:tc>
        <w:tc>
          <w:tcPr>
            <w:tcW w:w="57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结果纠正</w:t>
            </w:r>
          </w:p>
        </w:tc>
        <w:tc>
          <w:tcPr>
            <w:tcW w:w="57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其他结果</w:t>
            </w:r>
          </w:p>
        </w:tc>
        <w:tc>
          <w:tcPr>
            <w:tcW w:w="572"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尚未</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审结</w:t>
            </w:r>
          </w:p>
        </w:tc>
        <w:tc>
          <w:tcPr>
            <w:tcW w:w="623" w:type="dxa"/>
            <w:vMerge w:val="restart"/>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总</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计</w:t>
            </w:r>
          </w:p>
        </w:tc>
        <w:tc>
          <w:tcPr>
            <w:tcW w:w="2942" w:type="dxa"/>
            <w:gridSpan w:val="5"/>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未经复议直接起诉</w:t>
            </w:r>
          </w:p>
        </w:tc>
        <w:tc>
          <w:tcPr>
            <w:tcW w:w="2982" w:type="dxa"/>
            <w:gridSpan w:val="5"/>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复议后起诉</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900" w:hRule="atLeast"/>
          <w:tblCellSpacing w:w="15" w:type="dxa"/>
          <w:jc w:val="center"/>
        </w:trPr>
        <w:tc>
          <w:tcPr>
            <w:tcW w:w="57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57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57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572"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623" w:type="dxa"/>
            <w:vMerge w:val="continue"/>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560" w:lineRule="exact"/>
              <w:textAlignment w:val="auto"/>
              <w:rPr>
                <w:rFonts w:hint="eastAsia" w:ascii="宋体"/>
                <w:sz w:val="24"/>
                <w:szCs w:val="24"/>
              </w:rPr>
            </w:pPr>
          </w:p>
        </w:tc>
        <w:tc>
          <w:tcPr>
            <w:tcW w:w="534"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结果维持</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结果纠正</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其他</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尚未</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审结</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总计</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结果维持</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纠正</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其他</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结果</w:t>
            </w:r>
          </w:p>
        </w:tc>
        <w:tc>
          <w:tcPr>
            <w:tcW w:w="573"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尚未审结</w:t>
            </w:r>
          </w:p>
        </w:tc>
        <w:tc>
          <w:tcPr>
            <w:tcW w:w="573"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总计</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PrEx>
        <w:trPr>
          <w:tblCellSpacing w:w="15" w:type="dxa"/>
          <w:jc w:val="center"/>
        </w:trPr>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623"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34"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2"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3"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c>
          <w:tcPr>
            <w:tcW w:w="573" w:type="dxa"/>
            <w:tcBorders>
              <w:top w:val="single" w:color="000000" w:sz="8" w:space="0"/>
              <w:left w:val="single" w:color="000000" w:sz="8" w:space="0"/>
              <w:bottom w:val="single" w:color="000000" w:sz="8" w:space="0"/>
              <w:right w:val="single" w:color="000000" w:sz="8" w:space="0"/>
            </w:tcBorders>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jc w:val="center"/>
              <w:textAlignment w:val="auto"/>
            </w:pPr>
            <w:r>
              <w:rPr>
                <w:rFonts w:hint="eastAsia" w:ascii="仿宋_GB2312" w:eastAsia="仿宋_GB2312" w:cs="仿宋_GB2312"/>
                <w:sz w:val="21"/>
                <w:szCs w:val="21"/>
              </w:rPr>
              <w:t>0</w:t>
            </w:r>
          </w:p>
        </w:tc>
      </w:tr>
    </w:tbl>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ind w:left="0" w:firstLine="640"/>
        <w:textAlignment w:val="auto"/>
      </w:pPr>
      <w:r>
        <w:rPr>
          <w:rFonts w:hint="eastAsia" w:ascii="黑体" w:hAnsi="宋体" w:eastAsia="黑体" w:cs="黑体"/>
          <w:sz w:val="32"/>
          <w:szCs w:val="32"/>
        </w:rPr>
        <w:t> 五、政府信息公开工作存在的主要问题及改进情况</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textAlignment w:val="auto"/>
      </w:pPr>
      <w:r>
        <w:rPr>
          <w:rFonts w:hint="eastAsia" w:ascii="仿宋_GB2312" w:eastAsia="仿宋_GB2312" w:cs="仿宋_GB2312"/>
          <w:sz w:val="32"/>
          <w:szCs w:val="32"/>
        </w:rPr>
        <w:t>     20</w:t>
      </w:r>
      <w:r>
        <w:rPr>
          <w:rFonts w:hint="eastAsia" w:ascii="仿宋_GB2312" w:eastAsia="仿宋_GB2312" w:cs="仿宋_GB2312"/>
          <w:sz w:val="32"/>
          <w:szCs w:val="32"/>
          <w:lang w:val="en-US" w:eastAsia="zh-CN"/>
        </w:rPr>
        <w:t>20</w:t>
      </w:r>
      <w:r>
        <w:rPr>
          <w:rFonts w:hint="eastAsia" w:ascii="仿宋_GB2312" w:eastAsia="仿宋_GB2312" w:cs="仿宋_GB2312"/>
          <w:sz w:val="32"/>
          <w:szCs w:val="32"/>
        </w:rPr>
        <w:t>年，我中心在政府信息公开工作中也存在公开不够及时，不够全面等问题。202</w:t>
      </w:r>
      <w:r>
        <w:rPr>
          <w:rFonts w:hint="eastAsia" w:ascii="仿宋_GB2312" w:eastAsia="仿宋_GB2312" w:cs="仿宋_GB2312"/>
          <w:sz w:val="32"/>
          <w:szCs w:val="32"/>
          <w:lang w:val="en-US" w:eastAsia="zh-CN"/>
        </w:rPr>
        <w:t>1</w:t>
      </w:r>
      <w:r>
        <w:rPr>
          <w:rFonts w:hint="eastAsia" w:ascii="仿宋_GB2312" w:eastAsia="仿宋_GB2312" w:cs="仿宋_GB2312"/>
          <w:sz w:val="32"/>
          <w:szCs w:val="32"/>
        </w:rPr>
        <w:t>年，我中心将继续做好政务公开、政府信息公开的相关工作。一是完善工作机制，主动提高政务公开的意识，多发布政务信息，鼓励干部职工积极参与信息发布的监督，建立长效的监督管理机制。二是强化政府信息管理工作人员的责任意识，并计划对相关人员进行专门培训，提高信息工作人员的业务水平。</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textAlignment w:val="auto"/>
      </w:pPr>
      <w:r>
        <w:rPr>
          <w:rFonts w:hint="eastAsia" w:ascii="仿宋_GB2312" w:eastAsia="仿宋_GB2312" w:cs="仿宋_GB2312"/>
          <w:sz w:val="32"/>
          <w:szCs w:val="32"/>
        </w:rPr>
        <w:t>   </w:t>
      </w:r>
      <w:r>
        <w:rPr>
          <w:rFonts w:hint="eastAsia" w:ascii="黑体" w:hAnsi="宋体" w:eastAsia="黑体" w:cs="黑体"/>
          <w:sz w:val="32"/>
          <w:szCs w:val="32"/>
        </w:rPr>
        <w:t>    六、其他需要报告事项</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textAlignment w:val="auto"/>
      </w:pPr>
      <w:r>
        <w:rPr>
          <w:rFonts w:hint="eastAsia" w:ascii="仿宋_GB2312" w:eastAsia="仿宋_GB2312" w:cs="仿宋_GB2312"/>
          <w:sz w:val="32"/>
          <w:szCs w:val="32"/>
        </w:rPr>
        <w:t>        无 </w:t>
      </w:r>
    </w:p>
    <w:p>
      <w:pPr>
        <w:pStyle w:val="2"/>
        <w:keepNext w:val="0"/>
        <w:keepLines w:val="0"/>
        <w:pageBreakBefore w:val="0"/>
        <w:widowControl/>
        <w:suppressLineNumbers w:val="0"/>
        <w:kinsoku/>
        <w:overflowPunct/>
        <w:topLinePunct w:val="0"/>
        <w:autoSpaceDE w:val="0"/>
        <w:autoSpaceDN/>
        <w:bidi w:val="0"/>
        <w:adjustRightInd/>
        <w:snapToGrid/>
        <w:spacing w:beforeAutospacing="0" w:afterAutospacing="0" w:line="600" w:lineRule="exact"/>
        <w:textAlignment w:val="auto"/>
      </w:pPr>
      <w:r>
        <w:rPr>
          <w:rFonts w:hint="eastAsia" w:ascii="仿宋_GB2312" w:eastAsia="仿宋_GB2312" w:cs="仿宋_GB2312"/>
          <w:sz w:val="32"/>
          <w:szCs w:val="32"/>
        </w:rPr>
        <w:t>  </w:t>
      </w:r>
    </w:p>
    <w:p>
      <w:pPr>
        <w:pStyle w:val="2"/>
        <w:keepNext w:val="0"/>
        <w:keepLines w:val="0"/>
        <w:pageBreakBefore w:val="0"/>
        <w:widowControl/>
        <w:suppressLineNumbers w:val="0"/>
        <w:kinsoku/>
        <w:wordWrap w:val="0"/>
        <w:overflowPunct/>
        <w:topLinePunct w:val="0"/>
        <w:autoSpaceDE w:val="0"/>
        <w:autoSpaceDN/>
        <w:bidi w:val="0"/>
        <w:adjustRightInd/>
        <w:snapToGrid/>
        <w:spacing w:beforeAutospacing="0" w:afterAutospacing="0" w:line="600" w:lineRule="exact"/>
        <w:jc w:val="right"/>
        <w:textAlignment w:val="auto"/>
        <w:rPr>
          <w:rFonts w:hint="default" w:ascii="仿宋_GB2312" w:eastAsia="仿宋_GB2312" w:cs="仿宋_GB2312"/>
          <w:sz w:val="32"/>
          <w:szCs w:val="32"/>
          <w:lang w:val="en-US" w:eastAsia="zh-CN"/>
        </w:rPr>
      </w:pPr>
      <w:r>
        <w:rPr>
          <w:rFonts w:hint="eastAsia" w:ascii="仿宋_GB2312" w:eastAsia="仿宋_GB2312" w:cs="仿宋_GB2312"/>
          <w:sz w:val="32"/>
          <w:szCs w:val="32"/>
        </w:rPr>
        <w:t>张店区大数据中心</w:t>
      </w:r>
      <w:r>
        <w:rPr>
          <w:rFonts w:hint="eastAsia" w:ascii="仿宋_GB2312" w:eastAsia="仿宋_GB2312" w:cs="仿宋_GB2312"/>
          <w:sz w:val="32"/>
          <w:szCs w:val="32"/>
          <w:lang w:val="en-US" w:eastAsia="zh-CN"/>
        </w:rPr>
        <w:t xml:space="preserve">  </w:t>
      </w:r>
    </w:p>
    <w:p>
      <w:pPr>
        <w:pStyle w:val="2"/>
        <w:keepNext w:val="0"/>
        <w:keepLines w:val="0"/>
        <w:pageBreakBefore w:val="0"/>
        <w:widowControl/>
        <w:suppressLineNumbers w:val="0"/>
        <w:kinsoku/>
        <w:wordWrap w:val="0"/>
        <w:overflowPunct/>
        <w:topLinePunct w:val="0"/>
        <w:autoSpaceDE w:val="0"/>
        <w:autoSpaceDN/>
        <w:bidi w:val="0"/>
        <w:adjustRightInd/>
        <w:snapToGrid/>
        <w:spacing w:beforeAutospacing="0" w:afterAutospacing="0" w:line="600" w:lineRule="exact"/>
        <w:jc w:val="right"/>
        <w:textAlignment w:val="auto"/>
        <w:rPr>
          <w:rFonts w:hint="default" w:eastAsia="仿宋_GB2312"/>
          <w:lang w:val="en-US" w:eastAsia="zh-CN"/>
        </w:rPr>
      </w:pPr>
      <w:r>
        <w:rPr>
          <w:rFonts w:hint="eastAsia" w:ascii="仿宋_GB2312" w:eastAsia="仿宋_GB2312" w:cs="仿宋_GB2312"/>
          <w:sz w:val="32"/>
          <w:szCs w:val="32"/>
        </w:rPr>
        <w:t>202</w:t>
      </w:r>
      <w:r>
        <w:rPr>
          <w:rFonts w:hint="eastAsia" w:ascii="仿宋_GB2312" w:eastAsia="仿宋_GB2312" w:cs="仿宋_GB2312"/>
          <w:sz w:val="32"/>
          <w:szCs w:val="32"/>
          <w:lang w:val="en-US" w:eastAsia="zh-CN"/>
        </w:rPr>
        <w:t>1</w:t>
      </w:r>
      <w:r>
        <w:rPr>
          <w:rFonts w:hint="eastAsia" w:ascii="仿宋_GB2312" w:eastAsia="仿宋_GB2312" w:cs="仿宋_GB2312"/>
          <w:sz w:val="32"/>
          <w:szCs w:val="32"/>
        </w:rPr>
        <w:t>年1月</w:t>
      </w:r>
      <w:r>
        <w:rPr>
          <w:rFonts w:hint="eastAsia" w:ascii="仿宋_GB2312" w:eastAsia="仿宋_GB2312" w:cs="仿宋_GB2312"/>
          <w:sz w:val="32"/>
          <w:szCs w:val="32"/>
          <w:lang w:val="en-US" w:eastAsia="zh-CN"/>
        </w:rPr>
        <w:t>11</w:t>
      </w:r>
      <w:r>
        <w:rPr>
          <w:rFonts w:hint="eastAsia" w:ascii="仿宋_GB2312" w:eastAsia="仿宋_GB2312" w:cs="仿宋_GB2312"/>
          <w:sz w:val="32"/>
          <w:szCs w:val="32"/>
        </w:rPr>
        <w:t>日</w:t>
      </w:r>
      <w:r>
        <w:rPr>
          <w:rFonts w:hint="eastAsia" w:ascii="仿宋_GB2312" w:eastAsia="仿宋_GB2312" w:cs="仿宋_GB2312"/>
          <w:sz w:val="32"/>
          <w:szCs w:val="32"/>
          <w:lang w:val="en-US" w:eastAsia="zh-CN"/>
        </w:rPr>
        <w:t xml:space="preserve">  </w:t>
      </w:r>
    </w:p>
    <w:sectPr>
      <w:pgSz w:w="11906" w:h="16838"/>
      <w:pgMar w:top="2098"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67E22"/>
    <w:rsid w:val="0A97049C"/>
    <w:rsid w:val="0C894406"/>
    <w:rsid w:val="0DB75929"/>
    <w:rsid w:val="194A4FF3"/>
    <w:rsid w:val="1E73714A"/>
    <w:rsid w:val="31244B75"/>
    <w:rsid w:val="3C286B24"/>
    <w:rsid w:val="3D346478"/>
    <w:rsid w:val="48E77B75"/>
    <w:rsid w:val="4AD60F93"/>
    <w:rsid w:val="59625390"/>
    <w:rsid w:val="619C5AE0"/>
    <w:rsid w:val="653C77F8"/>
    <w:rsid w:val="6B1A4403"/>
    <w:rsid w:val="6E932ED4"/>
    <w:rsid w:val="70661422"/>
    <w:rsid w:val="74035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2262</Words>
  <Characters>2372</Characters>
  <Lines>0</Lines>
  <Paragraphs>0</Paragraphs>
  <TotalTime>6</TotalTime>
  <ScaleCrop>false</ScaleCrop>
  <LinksUpToDate>false</LinksUpToDate>
  <CharactersWithSpaces>2437</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2021-01-29T03:40:00Z</dcterms:created>
  <dc:creator>Administrator</dc:creator>
  <cp:lastModifiedBy>piggy bro.</cp:lastModifiedBy>
  <dcterms:modified xsi:type="dcterms:W3CDTF">2021-02-09T08:13:35Z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