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wordWrap w:val="0"/>
        <w:spacing w:beforeAutospacing="0" w:afterAutospacing="0" w:line="560" w:lineRule="exact"/>
        <w:jc w:val="center"/>
        <w:rPr>
          <w:rFonts w:ascii="Times New Roman" w:hAnsi="Times New Roman" w:eastAsia="方正小标宋简体" w:cs="方正小标宋简体"/>
          <w:bCs/>
          <w:color w:val="333333"/>
          <w:spacing w:val="-17"/>
          <w:sz w:val="44"/>
          <w:szCs w:val="44"/>
          <w:shd w:val="clear" w:color="auto" w:fill="FFFFFF"/>
        </w:rPr>
      </w:pPr>
      <w:r>
        <w:rPr>
          <w:rFonts w:hint="eastAsia" w:ascii="Times New Roman" w:hAnsi="Times New Roman" w:eastAsia="方正小标宋简体" w:cs="方正小标宋简体"/>
          <w:bCs/>
          <w:color w:val="333333"/>
          <w:spacing w:val="-17"/>
          <w:sz w:val="44"/>
          <w:szCs w:val="44"/>
          <w:shd w:val="clear" w:color="auto" w:fill="FFFFFF"/>
        </w:rPr>
        <w:t>张店区供销合作社联合社</w:t>
      </w:r>
    </w:p>
    <w:p>
      <w:pPr>
        <w:pStyle w:val="4"/>
        <w:widowControl/>
        <w:shd w:val="clear" w:color="auto" w:fill="FFFFFF"/>
        <w:wordWrap w:val="0"/>
        <w:spacing w:beforeAutospacing="0" w:afterAutospacing="0" w:line="560" w:lineRule="exact"/>
        <w:jc w:val="center"/>
        <w:rPr>
          <w:rFonts w:ascii="Times New Roman" w:hAnsi="Times New Roman" w:eastAsia="方正小标宋简体" w:cs="方正小标宋简体"/>
          <w:bCs/>
          <w:color w:val="333333"/>
          <w:spacing w:val="-17"/>
          <w:sz w:val="44"/>
          <w:szCs w:val="44"/>
          <w:shd w:val="clear" w:color="auto" w:fill="FFFFFF"/>
        </w:rPr>
      </w:pPr>
      <w:r>
        <w:rPr>
          <w:rFonts w:hint="eastAsia" w:ascii="Times New Roman" w:hAnsi="Times New Roman" w:eastAsia="方正小标宋简体" w:cs="方正小标宋简体"/>
          <w:bCs/>
          <w:color w:val="333333"/>
          <w:spacing w:val="-17"/>
          <w:sz w:val="44"/>
          <w:szCs w:val="44"/>
          <w:shd w:val="clear" w:color="auto" w:fill="FFFFFF"/>
        </w:rPr>
        <w:t>2023年政府信息公开工作年度报告</w:t>
      </w:r>
    </w:p>
    <w:p>
      <w:pPr>
        <w:pStyle w:val="4"/>
        <w:widowControl/>
        <w:shd w:val="clear" w:color="auto" w:fill="FFFFFF"/>
        <w:wordWrap w:val="0"/>
        <w:spacing w:beforeAutospacing="0" w:afterAutospacing="0" w:line="560" w:lineRule="exact"/>
        <w:jc w:val="both"/>
        <w:rPr>
          <w:rFonts w:ascii="Times New Roman" w:hAnsi="Times New Roman" w:eastAsia="方正小标宋简体" w:cs="方正小标宋简体"/>
          <w:bCs/>
          <w:color w:val="333333"/>
          <w:spacing w:val="-17"/>
          <w:sz w:val="44"/>
          <w:szCs w:val="44"/>
          <w:shd w:val="clear" w:color="auto" w:fill="FFFFFF"/>
        </w:rPr>
      </w:pPr>
    </w:p>
    <w:p>
      <w:pPr>
        <w:pStyle w:val="4"/>
        <w:widowControl/>
        <w:shd w:val="clear" w:color="auto" w:fill="FFFFFF"/>
        <w:wordWrap w:val="0"/>
        <w:spacing w:beforeAutospacing="0" w:afterAutospacing="0" w:line="560" w:lineRule="exact"/>
        <w:ind w:firstLine="640" w:firstLineChars="200"/>
        <w:rPr>
          <w:rFonts w:ascii="Times New Roman" w:hAnsi="Times New Roman" w:eastAsia="宋体" w:cs="宋体"/>
          <w:color w:val="0000FF"/>
          <w:kern w:val="2"/>
          <w:szCs w:val="24"/>
          <w:shd w:val="clear" w:color="auto" w:fill="FFFFFF"/>
        </w:rPr>
      </w:pPr>
      <w:bookmarkStart w:id="10" w:name="_GoBack"/>
      <w:bookmarkEnd w:id="10"/>
      <w:r>
        <w:rPr>
          <w:rFonts w:hint="eastAsia" w:ascii="Times New Roman" w:hAnsi="Times New Roman" w:eastAsia="仿宋_GB2312" w:cs="仿宋_GB2312"/>
          <w:color w:val="000000" w:themeColor="text1"/>
          <w:sz w:val="32"/>
          <w:szCs w:val="32"/>
          <w14:textFill>
            <w14:solidFill>
              <w14:schemeClr w14:val="tx1"/>
            </w14:solidFill>
          </w14:textFill>
        </w:rPr>
        <w:t>本年度报告中所列数据的统计期限自2023年1月1日起，至2023年12月31日止。如对报告内容有疑问，请与</w:t>
      </w:r>
      <w:r>
        <w:rPr>
          <w:rFonts w:ascii="仿宋_GB2312" w:eastAsia="仿宋_GB2312" w:cs="仿宋_GB2312"/>
          <w:color w:val="333333"/>
          <w:spacing w:val="8"/>
          <w:sz w:val="32"/>
          <w:szCs w:val="32"/>
          <w:shd w:val="clear" w:color="auto" w:fill="FFFFFF"/>
        </w:rPr>
        <w:t>张店区</w:t>
      </w:r>
      <w:r>
        <w:rPr>
          <w:rFonts w:hint="eastAsia" w:ascii="仿宋_GB2312" w:eastAsia="仿宋_GB2312" w:cs="仿宋_GB2312"/>
          <w:color w:val="333333"/>
          <w:spacing w:val="8"/>
          <w:sz w:val="32"/>
          <w:szCs w:val="32"/>
          <w:shd w:val="clear" w:color="auto" w:fill="FFFFFF"/>
        </w:rPr>
        <w:t>供销合作社联合社</w:t>
      </w:r>
      <w:r>
        <w:rPr>
          <w:rFonts w:hint="eastAsia" w:ascii="Times New Roman" w:hAnsi="Times New Roman" w:eastAsia="仿宋_GB2312" w:cs="仿宋_GB2312"/>
          <w:color w:val="000000" w:themeColor="text1"/>
          <w:sz w:val="32"/>
          <w:szCs w:val="32"/>
          <w14:textFill>
            <w14:solidFill>
              <w14:schemeClr w14:val="tx1"/>
            </w14:solidFill>
          </w14:textFill>
        </w:rPr>
        <w:t>联系（地址：淄博市张店区商场西街6</w:t>
      </w:r>
      <w:r>
        <w:rPr>
          <w:rFonts w:ascii="Times New Roman" w:hAnsi="Times New Roman" w:eastAsia="仿宋_GB2312" w:cs="仿宋_GB2312"/>
          <w:color w:val="000000" w:themeColor="text1"/>
          <w:sz w:val="32"/>
          <w:szCs w:val="32"/>
          <w14:textFill>
            <w14:solidFill>
              <w14:schemeClr w14:val="tx1"/>
            </w14:solidFill>
          </w14:textFill>
        </w:rPr>
        <w:t>2</w:t>
      </w:r>
      <w:r>
        <w:rPr>
          <w:rFonts w:hint="eastAsia" w:ascii="Times New Roman" w:hAnsi="Times New Roman" w:eastAsia="仿宋_GB2312" w:cs="仿宋_GB2312"/>
          <w:color w:val="000000" w:themeColor="text1"/>
          <w:sz w:val="32"/>
          <w:szCs w:val="32"/>
          <w14:textFill>
            <w14:solidFill>
              <w14:schemeClr w14:val="tx1"/>
            </w14:solidFill>
          </w14:textFill>
        </w:rPr>
        <w:t>号；邮编：</w:t>
      </w:r>
      <w:r>
        <w:rPr>
          <w:rFonts w:ascii="Times New Roman" w:hAnsi="Times New Roman" w:eastAsia="仿宋_GB2312" w:cs="仿宋_GB2312"/>
          <w:color w:val="000000" w:themeColor="text1"/>
          <w:sz w:val="32"/>
          <w:szCs w:val="32"/>
          <w14:textFill>
            <w14:solidFill>
              <w14:schemeClr w14:val="tx1"/>
            </w14:solidFill>
          </w14:textFill>
        </w:rPr>
        <w:t>255000</w:t>
      </w:r>
      <w:r>
        <w:rPr>
          <w:rFonts w:hint="eastAsia" w:ascii="Times New Roman" w:hAnsi="Times New Roman" w:eastAsia="仿宋_GB2312" w:cs="仿宋_GB2312"/>
          <w:color w:val="000000" w:themeColor="text1"/>
          <w:sz w:val="32"/>
          <w:szCs w:val="32"/>
          <w14:textFill>
            <w14:solidFill>
              <w14:schemeClr w14:val="tx1"/>
            </w14:solidFill>
          </w14:textFill>
        </w:rPr>
        <w:t>；电话：0533-</w:t>
      </w:r>
      <w:r>
        <w:rPr>
          <w:rFonts w:ascii="Times New Roman" w:hAnsi="Times New Roman" w:eastAsia="仿宋_GB2312" w:cs="仿宋_GB2312"/>
          <w:color w:val="000000" w:themeColor="text1"/>
          <w:sz w:val="32"/>
          <w:szCs w:val="32"/>
          <w14:textFill>
            <w14:solidFill>
              <w14:schemeClr w14:val="tx1"/>
            </w14:solidFill>
          </w14:textFill>
        </w:rPr>
        <w:t>2833908</w:t>
      </w:r>
      <w:r>
        <w:rPr>
          <w:rFonts w:hint="eastAsia" w:ascii="Times New Roman" w:hAnsi="Times New Roman" w:eastAsia="仿宋_GB2312" w:cs="仿宋_GB2312"/>
          <w:color w:val="000000" w:themeColor="text1"/>
          <w:sz w:val="32"/>
          <w:szCs w:val="32"/>
          <w14:textFill>
            <w14:solidFill>
              <w14:schemeClr w14:val="tx1"/>
            </w14:solidFill>
          </w14:textFill>
        </w:rPr>
        <w:t>；电子邮箱：</w:t>
      </w:r>
      <w:r>
        <w:rPr>
          <w:rFonts w:ascii="仿宋_GB2312" w:eastAsia="仿宋_GB2312" w:cs="仿宋_GB2312"/>
          <w:color w:val="333333"/>
          <w:spacing w:val="8"/>
          <w:sz w:val="32"/>
          <w:szCs w:val="32"/>
          <w:shd w:val="clear" w:color="auto" w:fill="FFFFFF"/>
        </w:rPr>
        <w:t>zdgxxx2004@163.com</w:t>
      </w:r>
      <w:r>
        <w:rPr>
          <w:rFonts w:hint="eastAsia" w:ascii="Times New Roman" w:hAnsi="Times New Roman" w:eastAsia="仿宋_GB2312" w:cs="仿宋_GB2312"/>
          <w:color w:val="000000" w:themeColor="text1"/>
          <w:sz w:val="32"/>
          <w:szCs w:val="32"/>
          <w14:textFill>
            <w14:solidFill>
              <w14:schemeClr w14:val="tx1"/>
            </w14:solidFill>
          </w14:textFill>
        </w:rPr>
        <w:t>）。</w:t>
      </w:r>
    </w:p>
    <w:p>
      <w:pPr>
        <w:pStyle w:val="4"/>
        <w:widowControl/>
        <w:shd w:val="clear" w:color="auto" w:fill="FFFFFF"/>
        <w:wordWrap w:val="0"/>
        <w:spacing w:beforeAutospacing="0" w:afterAutospacing="0"/>
        <w:ind w:firstLine="420"/>
        <w:jc w:val="both"/>
        <w:rPr>
          <w:rFonts w:ascii="Times New Roman" w:hAnsi="Times New Roman" w:eastAsia="黑体" w:cs="黑体"/>
          <w:bCs/>
          <w:color w:val="333333"/>
          <w:sz w:val="32"/>
          <w:szCs w:val="32"/>
        </w:rPr>
      </w:pPr>
      <w:r>
        <w:rPr>
          <w:rFonts w:hint="eastAsia" w:ascii="Times New Roman" w:hAnsi="Times New Roman" w:eastAsia="黑体" w:cs="黑体"/>
          <w:bCs/>
          <w:color w:val="333333"/>
          <w:sz w:val="32"/>
          <w:szCs w:val="32"/>
          <w:shd w:val="clear" w:color="auto" w:fill="FFFFFF"/>
        </w:rPr>
        <w:t>一、总体情况</w:t>
      </w:r>
    </w:p>
    <w:p>
      <w:pPr>
        <w:wordWrap w:val="0"/>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2023年，在区委、区政府的正确领导下，张店区供销社认真贯彻落实《中华人民共和国政府信息公开条例》和省、市、区关于做好政务公开工作的有关要求，认真履行职责，及时规范做好政府信息公开工作，现将我单位2023年政府信息公开工作情况汇报如下：</w:t>
      </w:r>
      <w:r>
        <w:rPr>
          <w:rFonts w:ascii="Times New Roman" w:hAnsi="Times New Roman" w:eastAsia="仿宋_GB2312" w:cs="仿宋_GB2312"/>
          <w:sz w:val="32"/>
          <w:szCs w:val="32"/>
        </w:rPr>
        <w:t xml:space="preserve"> </w:t>
      </w:r>
    </w:p>
    <w:p>
      <w:pPr>
        <w:pStyle w:val="7"/>
        <w:numPr>
          <w:ilvl w:val="0"/>
          <w:numId w:val="1"/>
        </w:numPr>
        <w:wordWrap w:val="0"/>
        <w:spacing w:line="560" w:lineRule="exact"/>
        <w:ind w:firstLineChars="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b/>
          <w:bCs/>
          <w:color w:val="000000" w:themeColor="text1"/>
          <w:sz w:val="32"/>
          <w:szCs w:val="32"/>
          <w14:textFill>
            <w14:solidFill>
              <w14:schemeClr w14:val="tx1"/>
            </w14:solidFill>
          </w14:textFill>
        </w:rPr>
        <w:t>主动公开方面。</w:t>
      </w:r>
      <w:r>
        <w:rPr>
          <w:rFonts w:hint="eastAsia" w:ascii="Times New Roman" w:hAnsi="Times New Roman" w:eastAsia="仿宋_GB2312" w:cs="仿宋_GB2312"/>
          <w:color w:val="000000" w:themeColor="text1"/>
          <w:sz w:val="32"/>
          <w:szCs w:val="32"/>
          <w14:textFill>
            <w14:solidFill>
              <w14:schemeClr w14:val="tx1"/>
            </w14:solidFill>
          </w14:textFill>
        </w:rPr>
        <w:t>严格按照《中华人民共和国政府信</w:t>
      </w:r>
    </w:p>
    <w:p>
      <w:pPr>
        <w:wordWrap w:val="0"/>
        <w:spacing w:line="560" w:lineRule="exac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息公开条例》要求，进一步完善信息公开制度，及时在政府网站发布年度</w:t>
      </w:r>
      <w:r>
        <w:rPr>
          <w:rFonts w:ascii="仿宋_GB2312" w:eastAsia="仿宋_GB2312" w:cs="仿宋_GB2312"/>
          <w:color w:val="333333"/>
          <w:spacing w:val="8"/>
          <w:sz w:val="32"/>
          <w:szCs w:val="32"/>
          <w:shd w:val="clear" w:color="auto" w:fill="FFFFFF"/>
        </w:rPr>
        <w:t>本单位机构概况类信息、财政信息、工作动态、部门文件、政务信息、社会公益事业建设、其他信息公开事项等政府信息，</w:t>
      </w:r>
      <w:r>
        <w:rPr>
          <w:rFonts w:hint="eastAsia" w:ascii="Times New Roman" w:hAnsi="Times New Roman" w:eastAsia="仿宋_GB2312" w:cs="仿宋_GB2312"/>
          <w:color w:val="000000" w:themeColor="text1"/>
          <w:sz w:val="32"/>
          <w:szCs w:val="32"/>
          <w14:textFill>
            <w14:solidFill>
              <w14:schemeClr w14:val="tx1"/>
            </w14:solidFill>
          </w14:textFill>
        </w:rPr>
        <w:t>做到政策文件应公开尽公开。2023年，主动公开信息</w:t>
      </w:r>
      <w:r>
        <w:rPr>
          <w:rFonts w:ascii="Times New Roman" w:hAnsi="Times New Roman" w:eastAsia="仿宋_GB2312" w:cs="仿宋_GB2312"/>
          <w:color w:val="000000" w:themeColor="text1"/>
          <w:sz w:val="32"/>
          <w:szCs w:val="32"/>
          <w14:textFill>
            <w14:solidFill>
              <w14:schemeClr w14:val="tx1"/>
            </w14:solidFill>
          </w14:textFill>
        </w:rPr>
        <w:t>21</w:t>
      </w:r>
      <w:r>
        <w:rPr>
          <w:rFonts w:hint="eastAsia" w:ascii="Times New Roman" w:hAnsi="Times New Roman" w:eastAsia="仿宋_GB2312" w:cs="仿宋_GB2312"/>
          <w:color w:val="000000" w:themeColor="text1"/>
          <w:sz w:val="32"/>
          <w:szCs w:val="32"/>
          <w14:textFill>
            <w14:solidFill>
              <w14:schemeClr w14:val="tx1"/>
            </w14:solidFill>
          </w14:textFill>
        </w:rPr>
        <w:t>条。</w:t>
      </w:r>
    </w:p>
    <w:p>
      <w:pPr>
        <w:wordWrap w:val="0"/>
        <w:spacing w:line="560" w:lineRule="exact"/>
        <w:rPr>
          <w:rFonts w:hint="eastAsia" w:ascii="Times New Roman" w:hAnsi="Times New Roman" w:eastAsia="仿宋_GB2312" w:cs="仿宋_GB2312"/>
          <w:color w:val="000000" w:themeColor="text1"/>
          <w:sz w:val="32"/>
          <w:szCs w:val="32"/>
          <w14:textFill>
            <w14:solidFill>
              <w14:schemeClr w14:val="tx1"/>
            </w14:solidFill>
          </w14:textFill>
        </w:rPr>
      </w:pPr>
    </w:p>
    <w:p>
      <w:pPr>
        <w:wordWrap w:val="0"/>
        <w:spacing w:line="560" w:lineRule="exact"/>
        <w:ind w:firstLine="640" w:firstLineChars="200"/>
        <w:rPr>
          <w:rFonts w:ascii="Times New Roman" w:hAnsi="Times New Roman" w:eastAsia="仿宋_GB2312" w:cs="仿宋_GB2312"/>
          <w:b/>
          <w:bCs/>
          <w:color w:val="000000" w:themeColor="text1"/>
          <w:sz w:val="32"/>
          <w:szCs w:val="32"/>
          <w14:textFill>
            <w14:solidFill>
              <w14:schemeClr w14:val="tx1"/>
            </w14:solidFill>
          </w14:textFill>
        </w:rPr>
      </w:pPr>
      <w:r>
        <w:rPr>
          <w:rFonts w:ascii="仿宋_GB2312" w:eastAsia="仿宋_GB2312" w:cs="仿宋_GB2312"/>
          <w:sz w:val="32"/>
          <w:szCs w:val="32"/>
          <w:shd w:val="clear" w:color="auto" w:fill="FFFFFF"/>
        </w:rPr>
        <w:drawing>
          <wp:anchor distT="0" distB="0" distL="114300" distR="114300" simplePos="0" relativeHeight="251659264" behindDoc="1" locked="0" layoutInCell="1" allowOverlap="1">
            <wp:simplePos x="0" y="0"/>
            <wp:positionH relativeFrom="column">
              <wp:posOffset>218440</wp:posOffset>
            </wp:positionH>
            <wp:positionV relativeFrom="paragraph">
              <wp:posOffset>-45085</wp:posOffset>
            </wp:positionV>
            <wp:extent cx="4836160" cy="4138295"/>
            <wp:effectExtent l="0" t="0" r="2540" b="14605"/>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pStyle w:val="7"/>
        <w:numPr>
          <w:ilvl w:val="0"/>
          <w:numId w:val="1"/>
        </w:numPr>
        <w:wordWrap w:val="0"/>
        <w:spacing w:line="560" w:lineRule="exact"/>
        <w:ind w:firstLineChars="0"/>
        <w:rPr>
          <w:rFonts w:ascii="仿宋_GB2312" w:eastAsia="仿宋_GB2312" w:cs="仿宋_GB2312"/>
          <w:sz w:val="32"/>
          <w:szCs w:val="32"/>
          <w:shd w:val="clear" w:color="auto" w:fill="FFFFFF"/>
        </w:rPr>
      </w:pPr>
      <w:r>
        <w:rPr>
          <w:rFonts w:hint="eastAsia" w:ascii="Times New Roman" w:hAnsi="Times New Roman" w:eastAsia="仿宋_GB2312" w:cs="仿宋_GB2312"/>
          <w:b/>
          <w:bCs/>
          <w:color w:val="000000" w:themeColor="text1"/>
          <w:sz w:val="32"/>
          <w:szCs w:val="32"/>
          <w14:textFill>
            <w14:solidFill>
              <w14:schemeClr w14:val="tx1"/>
            </w14:solidFill>
          </w14:textFill>
        </w:rPr>
        <w:t>依申请公开工作方面。</w:t>
      </w:r>
      <w:r>
        <w:rPr>
          <w:rFonts w:ascii="Times New Roman" w:hAnsi="Times New Roman" w:eastAsia="仿宋_GB2312" w:cs="Times New Roman"/>
          <w:sz w:val="32"/>
          <w:szCs w:val="32"/>
          <w:shd w:val="clear" w:color="auto" w:fill="FFFFFF"/>
        </w:rPr>
        <w:t>2023</w:t>
      </w:r>
      <w:r>
        <w:rPr>
          <w:rFonts w:ascii="仿宋_GB2312" w:eastAsia="仿宋_GB2312" w:cs="仿宋_GB2312"/>
          <w:sz w:val="32"/>
          <w:szCs w:val="32"/>
          <w:shd w:val="clear" w:color="auto" w:fill="FFFFFF"/>
        </w:rPr>
        <w:t>年度无依申请公开的信</w:t>
      </w:r>
    </w:p>
    <w:p>
      <w:pPr>
        <w:wordWrap w:val="0"/>
        <w:spacing w:line="560" w:lineRule="exact"/>
        <w:rPr>
          <w:rFonts w:ascii="仿宋_GB2312" w:eastAsia="仿宋_GB2312" w:cs="仿宋_GB2312"/>
          <w:sz w:val="32"/>
          <w:szCs w:val="32"/>
          <w:shd w:val="clear" w:color="auto" w:fill="FFFFFF"/>
        </w:rPr>
      </w:pPr>
      <w:r>
        <w:rPr>
          <w:rFonts w:ascii="仿宋_GB2312" w:eastAsia="仿宋_GB2312" w:cs="仿宋_GB2312"/>
          <w:sz w:val="32"/>
          <w:szCs w:val="32"/>
          <w:shd w:val="clear" w:color="auto" w:fill="FFFFFF"/>
        </w:rPr>
        <w:drawing>
          <wp:anchor distT="0" distB="0" distL="114300" distR="114300" simplePos="0" relativeHeight="251660288" behindDoc="0" locked="0" layoutInCell="1" allowOverlap="1">
            <wp:simplePos x="0" y="0"/>
            <wp:positionH relativeFrom="column">
              <wp:posOffset>110490</wp:posOffset>
            </wp:positionH>
            <wp:positionV relativeFrom="paragraph">
              <wp:posOffset>417830</wp:posOffset>
            </wp:positionV>
            <wp:extent cx="5365750" cy="3011805"/>
            <wp:effectExtent l="0" t="0" r="6350" b="0"/>
            <wp:wrapTopAndBottom/>
            <wp:docPr id="16612580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25806" name="图片 2" descr="IMG_257"/>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365750" cy="3011805"/>
                    </a:xfrm>
                    <a:prstGeom prst="rect">
                      <a:avLst/>
                    </a:prstGeom>
                    <a:noFill/>
                    <a:ln w="9525">
                      <a:noFill/>
                    </a:ln>
                  </pic:spPr>
                </pic:pic>
              </a:graphicData>
            </a:graphic>
          </wp:anchor>
        </w:drawing>
      </w:r>
      <w:r>
        <w:rPr>
          <w:rFonts w:ascii="仿宋_GB2312" w:eastAsia="仿宋_GB2312" w:cs="仿宋_GB2312"/>
          <w:sz w:val="32"/>
          <w:szCs w:val="32"/>
          <w:shd w:val="clear" w:color="auto" w:fill="FFFFFF"/>
        </w:rPr>
        <w:t>息。</w:t>
      </w:r>
    </w:p>
    <w:p>
      <w:pPr>
        <w:wordWrap w:val="0"/>
        <w:spacing w:line="560" w:lineRule="exact"/>
        <w:rPr>
          <w:rFonts w:hint="eastAsia" w:ascii="Times New Roman" w:hAnsi="Times New Roman" w:eastAsia="仿宋_GB2312" w:cs="仿宋_GB2312"/>
          <w:color w:val="000000" w:themeColor="text1"/>
          <w:sz w:val="32"/>
          <w:szCs w:val="32"/>
          <w14:textFill>
            <w14:solidFill>
              <w14:schemeClr w14:val="tx1"/>
            </w14:solidFill>
          </w14:textFill>
        </w:rPr>
      </w:pPr>
    </w:p>
    <w:p>
      <w:pPr>
        <w:wordWrap w:val="0"/>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Times New Roman" w:hAnsi="Times New Roman" w:eastAsia="仿宋_GB2312" w:cs="仿宋_GB2312"/>
          <w:color w:val="000000" w:themeColor="text1"/>
          <w:sz w:val="32"/>
          <w:szCs w:val="32"/>
          <w14:textFill>
            <w14:solidFill>
              <w14:schemeClr w14:val="tx1"/>
            </w14:solidFill>
          </w14:textFill>
        </w:rPr>
        <w:drawing>
          <wp:anchor distT="0" distB="0" distL="114300" distR="114300" simplePos="0" relativeHeight="251662336" behindDoc="0" locked="0" layoutInCell="1" allowOverlap="1">
            <wp:simplePos x="0" y="0"/>
            <wp:positionH relativeFrom="column">
              <wp:posOffset>109855</wp:posOffset>
            </wp:positionH>
            <wp:positionV relativeFrom="paragraph">
              <wp:posOffset>2221865</wp:posOffset>
            </wp:positionV>
            <wp:extent cx="5615940" cy="5470525"/>
            <wp:effectExtent l="0" t="0" r="3810" b="0"/>
            <wp:wrapTopAndBottom/>
            <wp:docPr id="74021167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211674"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615940" cy="5470525"/>
                    </a:xfrm>
                    <a:prstGeom prst="rect">
                      <a:avLst/>
                    </a:prstGeom>
                    <a:noFill/>
                    <a:ln>
                      <a:noFill/>
                    </a:ln>
                  </pic:spPr>
                </pic:pic>
              </a:graphicData>
            </a:graphic>
          </wp:anchor>
        </w:drawing>
      </w:r>
      <w:r>
        <w:rPr>
          <w:rFonts w:hint="eastAsia" w:ascii="Times New Roman" w:hAnsi="Times New Roman" w:eastAsia="仿宋_GB2312" w:cs="仿宋_GB2312"/>
          <w:b/>
          <w:bCs/>
          <w:color w:val="000000" w:themeColor="text1"/>
          <w:sz w:val="32"/>
          <w:szCs w:val="32"/>
          <w14:textFill>
            <w14:solidFill>
              <w14:schemeClr w14:val="tx1"/>
            </w14:solidFill>
          </w14:textFill>
        </w:rPr>
        <w:t>（三）政府信息管理方面。</w:t>
      </w:r>
      <w:r>
        <w:rPr>
          <w:rFonts w:hint="eastAsia" w:ascii="Times New Roman" w:hAnsi="Times New Roman" w:eastAsia="仿宋_GB2312" w:cs="仿宋_GB2312"/>
          <w:color w:val="000000" w:themeColor="text1"/>
          <w:sz w:val="32"/>
          <w:szCs w:val="32"/>
          <w14:textFill>
            <w14:solidFill>
              <w14:schemeClr w14:val="tx1"/>
            </w14:solidFill>
          </w14:textFill>
        </w:rPr>
        <w:t>按照“先审查、后公开”原则，严控发布程序，严格财政信息内容发布审核，确保发布信息的内容真实、完整、准确和安全。严格按照《张店区供销社保密信息安全管理制度》，编制信息公开目录，明确公开的内容、形式和程序，落实政府信息公开工作的保密审查和内容准确审查责任制。</w:t>
      </w:r>
    </w:p>
    <w:p>
      <w:pPr>
        <w:pStyle w:val="4"/>
        <w:widowControl/>
        <w:shd w:val="clear" w:color="auto" w:fill="FFFFFF"/>
        <w:spacing w:beforeAutospacing="0" w:afterAutospacing="0" w:line="560" w:lineRule="atLeast"/>
        <w:ind w:firstLine="640" w:firstLineChars="200"/>
        <w:rPr>
          <w:rFonts w:hint="eastAsia"/>
          <w:szCs w:val="24"/>
        </w:rPr>
      </w:pPr>
      <w:r>
        <w:rPr>
          <w:rFonts w:ascii="仿宋_GB2312" w:eastAsia="仿宋_GB2312" w:cs="仿宋_GB2312"/>
          <w:sz w:val="32"/>
          <w:szCs w:val="32"/>
          <w:shd w:val="clear" w:color="auto" w:fill="FFFFFF"/>
        </w:rPr>
        <w:drawing>
          <wp:anchor distT="0" distB="0" distL="114300" distR="114300" simplePos="0" relativeHeight="251663360" behindDoc="0" locked="0" layoutInCell="1" allowOverlap="1">
            <wp:simplePos x="0" y="0"/>
            <wp:positionH relativeFrom="column">
              <wp:posOffset>158115</wp:posOffset>
            </wp:positionH>
            <wp:positionV relativeFrom="paragraph">
              <wp:posOffset>-8255</wp:posOffset>
            </wp:positionV>
            <wp:extent cx="5459730" cy="3095625"/>
            <wp:effectExtent l="0" t="0" r="7620" b="9525"/>
            <wp:wrapTopAndBottom/>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459730" cy="3095625"/>
                    </a:xfrm>
                    <a:prstGeom prst="rect">
                      <a:avLst/>
                    </a:prstGeom>
                    <a:noFill/>
                    <a:ln w="9525">
                      <a:noFill/>
                    </a:ln>
                  </pic:spPr>
                </pic:pic>
              </a:graphicData>
            </a:graphic>
          </wp:anchor>
        </w:drawing>
      </w:r>
      <w:r>
        <w:rPr>
          <w:rFonts w:hint="eastAsia" w:ascii="Times New Roman" w:hAnsi="Times New Roman" w:eastAsia="仿宋_GB2312" w:cs="仿宋_GB2312"/>
          <w:b/>
          <w:bCs/>
          <w:color w:val="000000" w:themeColor="text1"/>
          <w:sz w:val="32"/>
          <w:szCs w:val="32"/>
          <w14:textFill>
            <w14:solidFill>
              <w14:schemeClr w14:val="tx1"/>
            </w14:solidFill>
          </w14:textFill>
        </w:rPr>
        <w:t>（四）政府信息公开平台建设方面。</w:t>
      </w:r>
      <w:r>
        <w:rPr>
          <w:rFonts w:hint="eastAsia" w:ascii="Times New Roman" w:hAnsi="Times New Roman" w:eastAsia="仿宋_GB2312" w:cs="仿宋_GB2312"/>
          <w:color w:val="000000" w:themeColor="text1"/>
          <w:sz w:val="32"/>
          <w:szCs w:val="32"/>
          <w14:textFill>
            <w14:solidFill>
              <w14:schemeClr w14:val="tx1"/>
            </w14:solidFill>
          </w14:textFill>
        </w:rPr>
        <w:t>依托</w:t>
      </w:r>
      <w:r>
        <w:rPr>
          <w:rFonts w:ascii="仿宋_GB2312" w:eastAsia="仿宋_GB2312" w:cs="仿宋_GB2312"/>
          <w:sz w:val="32"/>
          <w:szCs w:val="32"/>
          <w:shd w:val="clear" w:color="auto" w:fill="FFFFFF"/>
        </w:rPr>
        <w:t>淄博市张店区人民政府门户网站公开政务信息，扎实做好政府信息公开发布工作</w:t>
      </w:r>
      <w:r>
        <w:rPr>
          <w:rFonts w:hint="eastAsia" w:ascii="仿宋_GB2312" w:eastAsia="仿宋_GB2312" w:cs="仿宋_GB2312"/>
          <w:sz w:val="32"/>
          <w:szCs w:val="32"/>
          <w:shd w:val="clear" w:color="auto" w:fill="FFFFFF"/>
          <w:lang w:eastAsia="zh-CN"/>
        </w:rPr>
        <w:t>，</w:t>
      </w:r>
      <w:r>
        <w:rPr>
          <w:rFonts w:ascii="仿宋_GB2312" w:eastAsia="仿宋_GB2312" w:cs="仿宋_GB2312"/>
          <w:sz w:val="32"/>
          <w:szCs w:val="32"/>
          <w:shd w:val="clear" w:color="auto" w:fill="FFFFFF"/>
        </w:rPr>
        <w:t>及时、准确公开相关信息与动态，</w:t>
      </w:r>
      <w:r>
        <w:rPr>
          <w:rFonts w:hint="eastAsia" w:ascii="仿宋_GB2312" w:eastAsia="仿宋_GB2312" w:cs="仿宋_GB2312"/>
          <w:sz w:val="32"/>
          <w:szCs w:val="32"/>
          <w:shd w:val="clear" w:color="auto" w:fill="FFFFFF"/>
        </w:rPr>
        <w:t>确保政务信息的完整性和实效性。</w:t>
      </w:r>
    </w:p>
    <w:p>
      <w:pPr>
        <w:wordWrap w:val="0"/>
        <w:spacing w:line="560" w:lineRule="exact"/>
        <w:ind w:firstLine="643" w:firstLineChars="200"/>
        <w:rPr>
          <w:rFonts w:ascii="Times New Roman" w:hAnsi="Times New Roman" w:eastAsia="仿宋_GB2312" w:cs="仿宋_GB2312"/>
          <w:sz w:val="32"/>
          <w:szCs w:val="32"/>
        </w:rPr>
      </w:pPr>
      <w:r>
        <w:rPr>
          <w:rFonts w:hint="eastAsia" w:ascii="Times New Roman" w:hAnsi="Times New Roman" w:eastAsia="仿宋_GB2312" w:cs="仿宋_GB2312"/>
          <w:b/>
          <w:bCs/>
          <w:color w:val="000000" w:themeColor="text1"/>
          <w:sz w:val="32"/>
          <w:szCs w:val="32"/>
          <w14:textFill>
            <w14:solidFill>
              <w14:schemeClr w14:val="tx1"/>
            </w14:solidFill>
          </w14:textFill>
        </w:rPr>
        <w:t>（五）监督保障方面。</w:t>
      </w:r>
      <w:r>
        <w:rPr>
          <w:rFonts w:hint="eastAsia" w:ascii="Times New Roman" w:hAnsi="Times New Roman" w:eastAsia="仿宋_GB2312" w:cs="仿宋_GB2312"/>
          <w:color w:val="000000" w:themeColor="text1"/>
          <w:sz w:val="32"/>
          <w:szCs w:val="32"/>
          <w14:textFill>
            <w14:solidFill>
              <w14:schemeClr w14:val="tx1"/>
            </w14:solidFill>
          </w14:textFill>
        </w:rPr>
        <w:t>一是高度重视。坚持“公开为原则、不公开为例外”和“谁公开、谁负责”的原则，完善有领导分管、有工作机构负责、有专人办理的工作体制，依法及时公开相关内容。二是细化落实。把政务公开工作要点逐项分解到各科室及下属单位，明确发布要求、责任内容和完成时限。同时，要求信息公开工作人员发布信息时需经保密审核后方能发布。三是加强长效管理。积极参加区政府政务公开工作培训，持续完善政务公开工作机制和流程，并对全体干部进行保密教育，学习保密法规和技防要求，掌握应知应会的保密知识和技能。</w:t>
      </w:r>
    </w:p>
    <w:p>
      <w:pPr>
        <w:pStyle w:val="4"/>
        <w:widowControl/>
        <w:shd w:val="clear" w:color="auto" w:fill="FFFFFF"/>
        <w:wordWrap w:val="0"/>
        <w:spacing w:beforeAutospacing="0" w:afterAutospacing="0"/>
        <w:ind w:firstLine="420"/>
        <w:jc w:val="both"/>
        <w:rPr>
          <w:rFonts w:ascii="Times New Roman" w:hAnsi="Times New Roman" w:eastAsia="黑体" w:cs="黑体"/>
          <w:bCs/>
          <w:color w:val="333333"/>
          <w:sz w:val="32"/>
          <w:szCs w:val="32"/>
        </w:rPr>
      </w:pPr>
      <w:r>
        <w:rPr>
          <w:rFonts w:hint="eastAsia" w:ascii="Times New Roman" w:hAnsi="Times New Roman" w:eastAsia="黑体" w:cs="黑体"/>
          <w:bCs/>
          <w:color w:val="333333"/>
          <w:sz w:val="32"/>
          <w:szCs w:val="32"/>
          <w:shd w:val="clear" w:color="auto" w:fill="FFFFFF"/>
        </w:rPr>
        <w:t>二、主动公开政府信息情况</w:t>
      </w:r>
    </w:p>
    <w:tbl>
      <w:tblPr>
        <w:tblStyle w:val="5"/>
        <w:tblW w:w="8824" w:type="dxa"/>
        <w:tblInd w:w="0" w:type="dxa"/>
        <w:tblLayout w:type="fixed"/>
        <w:tblCellMar>
          <w:top w:w="0" w:type="dxa"/>
          <w:left w:w="108" w:type="dxa"/>
          <w:bottom w:w="0" w:type="dxa"/>
          <w:right w:w="108" w:type="dxa"/>
        </w:tblCellMar>
      </w:tblPr>
      <w:tblGrid>
        <w:gridCol w:w="2206"/>
        <w:gridCol w:w="2206"/>
        <w:gridCol w:w="2206"/>
        <w:gridCol w:w="2206"/>
      </w:tblGrid>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wordWrap w:val="0"/>
              <w:jc w:val="center"/>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第二十条第（一）项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本年制发件数</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本年废止件数</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现行有效件数</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规章</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FF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FF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Calibri"/>
                <w:color w:val="FF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行政规范性文件</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FF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FF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FF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wordWrap w:val="0"/>
              <w:jc w:val="center"/>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第二十条第（五）项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行政许可</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Times New Roman" w:hAnsi="Times New Roman" w:eastAsia="仿宋_GB2312" w:cs="Calibri"/>
                <w:color w:val="00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wordWrap w:val="0"/>
              <w:jc w:val="center"/>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第二十条第（六）项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行政处罚</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Times New Roman" w:hAnsi="Times New Roman" w:eastAsia="仿宋_GB2312" w:cs="Calibri"/>
                <w:color w:val="FF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行政强制</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wordWrap w:val="0"/>
              <w:jc w:val="center"/>
              <w:rPr>
                <w:rFonts w:ascii="Times New Roman" w:hAnsi="Times New Roman" w:eastAsia="仿宋_GB2312" w:cs="Calibri"/>
                <w:color w:val="FF0000"/>
                <w:kern w:val="0"/>
                <w:szCs w:val="21"/>
              </w:rPr>
            </w:pPr>
            <w:r>
              <w:rPr>
                <w:rFonts w:hint="eastAsia" w:ascii="Times New Roman" w:hAnsi="Times New Roman" w:eastAsia="仿宋_GB2312" w:cs="宋体"/>
                <w:color w:val="000000" w:themeColor="text1"/>
                <w:kern w:val="0"/>
                <w:szCs w:val="21"/>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wordWrap w:val="0"/>
              <w:jc w:val="center"/>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第二十条第（八）项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wordWrap w:val="0"/>
              <w:jc w:val="center"/>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本年收费金额（单位：万元）</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wordWrap w:val="0"/>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wordWrap w:val="0"/>
              <w:jc w:val="left"/>
              <w:rPr>
                <w:rFonts w:ascii="Times New Roman" w:hAnsi="Times New Roman" w:eastAsia="仿宋_GB2312" w:cs="Calibri"/>
                <w:color w:val="000000"/>
                <w:kern w:val="0"/>
                <w:szCs w:val="21"/>
              </w:rPr>
            </w:pPr>
            <w:r>
              <w:rPr>
                <w:rFonts w:hint="eastAsia" w:ascii="Times New Roman" w:hAnsi="Times New Roman" w:eastAsia="仿宋_GB2312" w:cs="Calibri"/>
                <w:color w:val="FF0000"/>
                <w:kern w:val="0"/>
                <w:szCs w:val="21"/>
              </w:rPr>
              <w:t>　</w:t>
            </w:r>
            <w:r>
              <w:rPr>
                <w:rFonts w:hint="eastAsia" w:ascii="Times New Roman" w:hAnsi="Times New Roman" w:eastAsia="仿宋_GB2312" w:cs="宋体"/>
                <w:color w:val="000000" w:themeColor="text1"/>
                <w:kern w:val="0"/>
                <w:szCs w:val="21"/>
                <w14:textFill>
                  <w14:solidFill>
                    <w14:schemeClr w14:val="tx1"/>
                  </w14:solidFill>
                </w14:textFill>
              </w:rPr>
              <w:t>0</w:t>
            </w:r>
          </w:p>
        </w:tc>
      </w:tr>
    </w:tbl>
    <w:p>
      <w:pPr>
        <w:wordWrap w:val="0"/>
        <w:rPr>
          <w:rFonts w:ascii="Times New Roman" w:hAnsi="Times New Roman" w:eastAsia="黑体" w:cs="黑体"/>
          <w:bCs/>
          <w:color w:val="333333"/>
          <w:kern w:val="0"/>
          <w:sz w:val="32"/>
          <w:szCs w:val="32"/>
          <w:shd w:val="clear" w:color="auto" w:fill="FFFFFF"/>
          <w:lang w:bidi="ar"/>
        </w:rPr>
      </w:pPr>
      <w:r>
        <w:rPr>
          <w:rFonts w:hint="eastAsia" w:ascii="Times New Roman" w:hAnsi="Times New Roman" w:eastAsia="黑体" w:cs="黑体"/>
          <w:bCs/>
          <w:color w:val="333333"/>
          <w:kern w:val="0"/>
          <w:sz w:val="32"/>
          <w:szCs w:val="32"/>
          <w:shd w:val="clear" w:color="auto" w:fill="FFFFFF"/>
          <w:lang w:bidi="ar"/>
        </w:rPr>
        <w:t>三、收到和处理政府信息公开申请情况</w:t>
      </w:r>
    </w:p>
    <w:tbl>
      <w:tblPr>
        <w:tblStyle w:val="5"/>
        <w:tblW w:w="954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5"/>
        <w:gridCol w:w="1699"/>
        <w:gridCol w:w="2973"/>
        <w:gridCol w:w="752"/>
        <w:gridCol w:w="540"/>
        <w:gridCol w:w="540"/>
        <w:gridCol w:w="720"/>
        <w:gridCol w:w="675"/>
        <w:gridCol w:w="526"/>
        <w:gridCol w:w="7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5093" w:type="dxa"/>
            <w:gridSpan w:val="3"/>
            <w:vMerge w:val="restart"/>
            <w:shd w:val="clear" w:color="auto" w:fill="auto"/>
            <w:tcMar>
              <w:left w:w="108" w:type="dxa"/>
              <w:right w:w="108" w:type="dxa"/>
            </w:tcMar>
            <w:vAlign w:val="center"/>
          </w:tcPr>
          <w:p>
            <w:pPr>
              <w:widowControl/>
              <w:wordWrap w:val="0"/>
              <w:jc w:val="center"/>
              <w:rPr>
                <w:rFonts w:ascii="Times New Roman" w:hAnsi="Times New Roman" w:eastAsia="楷体_GB2312"/>
                <w:kern w:val="0"/>
                <w:szCs w:val="21"/>
              </w:rPr>
            </w:pPr>
            <w:r>
              <w:rPr>
                <w:rFonts w:hint="eastAsia" w:ascii="Times New Roman" w:hAnsi="Times New Roman" w:eastAsia="楷体_GB2312"/>
                <w:kern w:val="0"/>
                <w:szCs w:val="21"/>
              </w:rPr>
              <w:t>（本列数据的勾稽关系为：第一项加第二项之和，</w:t>
            </w:r>
          </w:p>
          <w:p>
            <w:pPr>
              <w:widowControl/>
              <w:wordWrap w:val="0"/>
              <w:jc w:val="center"/>
              <w:rPr>
                <w:rFonts w:ascii="Times New Roman" w:hAnsi="Times New Roman" w:eastAsia="仿宋_GB2312"/>
                <w:szCs w:val="21"/>
              </w:rPr>
            </w:pPr>
            <w:r>
              <w:rPr>
                <w:rFonts w:hint="eastAsia" w:ascii="Times New Roman" w:hAnsi="Times New Roman" w:eastAsia="楷体_GB2312"/>
                <w:kern w:val="0"/>
                <w:szCs w:val="21"/>
              </w:rPr>
              <w:t>等于第三项加第四项之和）</w:t>
            </w:r>
          </w:p>
        </w:tc>
        <w:tc>
          <w:tcPr>
            <w:tcW w:w="4448" w:type="dxa"/>
            <w:gridSpan w:val="7"/>
            <w:shd w:val="clear" w:color="auto" w:fill="auto"/>
            <w:tcMar>
              <w:left w:w="108" w:type="dxa"/>
              <w:right w:w="108" w:type="dxa"/>
            </w:tcMar>
            <w:vAlign w:val="center"/>
          </w:tcPr>
          <w:p>
            <w:pPr>
              <w:widowControl/>
              <w:wordWrap w:val="0"/>
              <w:spacing w:line="320" w:lineRule="exact"/>
              <w:jc w:val="center"/>
              <w:rPr>
                <w:rFonts w:ascii="Times New Roman" w:hAnsi="Times New Roman" w:eastAsia="黑体"/>
                <w:szCs w:val="21"/>
              </w:rPr>
            </w:pPr>
            <w:r>
              <w:rPr>
                <w:rFonts w:hint="eastAsia" w:ascii="Times New Roman" w:hAnsi="Times New Roman"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93" w:type="dxa"/>
            <w:gridSpan w:val="3"/>
            <w:vMerge w:val="continue"/>
            <w:shd w:val="clear" w:color="auto" w:fill="auto"/>
            <w:tcMar>
              <w:left w:w="108" w:type="dxa"/>
              <w:right w:w="108" w:type="dxa"/>
            </w:tcMar>
            <w:vAlign w:val="center"/>
          </w:tcPr>
          <w:p>
            <w:pPr>
              <w:wordWrap w:val="0"/>
              <w:jc w:val="center"/>
              <w:rPr>
                <w:rFonts w:ascii="Times New Roman" w:hAnsi="Times New Roman" w:eastAsia="仿宋_GB2312"/>
                <w:szCs w:val="21"/>
              </w:rPr>
            </w:pPr>
          </w:p>
        </w:tc>
        <w:tc>
          <w:tcPr>
            <w:tcW w:w="747" w:type="dxa"/>
            <w:vMerge w:val="restart"/>
            <w:shd w:val="clear" w:color="auto" w:fill="auto"/>
            <w:tcMar>
              <w:left w:w="108" w:type="dxa"/>
              <w:right w:w="108" w:type="dxa"/>
            </w:tcMar>
            <w:vAlign w:val="center"/>
          </w:tcPr>
          <w:p>
            <w:pPr>
              <w:widowControl/>
              <w:wordWrap w:val="0"/>
              <w:jc w:val="center"/>
              <w:rPr>
                <w:rFonts w:ascii="Times New Roman" w:hAnsi="Times New Roman" w:eastAsia="黑体"/>
                <w:szCs w:val="21"/>
              </w:rPr>
            </w:pPr>
            <w:r>
              <w:rPr>
                <w:rFonts w:hint="eastAsia" w:ascii="Times New Roman" w:hAnsi="Times New Roman" w:eastAsia="黑体"/>
                <w:kern w:val="0"/>
                <w:szCs w:val="21"/>
              </w:rPr>
              <w:t>自然人</w:t>
            </w:r>
          </w:p>
        </w:tc>
        <w:tc>
          <w:tcPr>
            <w:tcW w:w="3000" w:type="dxa"/>
            <w:gridSpan w:val="5"/>
            <w:shd w:val="clear" w:color="auto" w:fill="auto"/>
            <w:tcMar>
              <w:left w:w="108" w:type="dxa"/>
              <w:right w:w="108" w:type="dxa"/>
            </w:tcMar>
            <w:vAlign w:val="center"/>
          </w:tcPr>
          <w:p>
            <w:pPr>
              <w:widowControl/>
              <w:wordWrap w:val="0"/>
              <w:spacing w:line="320" w:lineRule="exact"/>
              <w:jc w:val="center"/>
              <w:rPr>
                <w:rFonts w:ascii="Times New Roman" w:hAnsi="Times New Roman" w:eastAsia="黑体"/>
                <w:szCs w:val="21"/>
              </w:rPr>
            </w:pPr>
            <w:r>
              <w:rPr>
                <w:rFonts w:hint="eastAsia" w:ascii="Times New Roman" w:hAnsi="Times New Roman" w:eastAsia="黑体"/>
                <w:kern w:val="0"/>
                <w:szCs w:val="21"/>
              </w:rPr>
              <w:t>法人或其他组织</w:t>
            </w:r>
          </w:p>
        </w:tc>
        <w:tc>
          <w:tcPr>
            <w:tcW w:w="701" w:type="dxa"/>
            <w:vMerge w:val="restart"/>
            <w:shd w:val="clear" w:color="auto" w:fill="auto"/>
            <w:tcMar>
              <w:left w:w="108" w:type="dxa"/>
              <w:right w:w="108" w:type="dxa"/>
            </w:tcMar>
            <w:vAlign w:val="center"/>
          </w:tcPr>
          <w:p>
            <w:pPr>
              <w:widowControl/>
              <w:wordWrap w:val="0"/>
              <w:jc w:val="center"/>
              <w:rPr>
                <w:rFonts w:ascii="Times New Roman" w:hAnsi="Times New Roman" w:eastAsia="黑体"/>
                <w:szCs w:val="21"/>
              </w:rPr>
            </w:pPr>
            <w:r>
              <w:rPr>
                <w:rFonts w:hint="eastAsia" w:ascii="Times New Roman" w:hAnsi="Times New Roman"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093" w:type="dxa"/>
            <w:gridSpan w:val="3"/>
            <w:vMerge w:val="continue"/>
            <w:shd w:val="clear" w:color="auto" w:fill="auto"/>
            <w:tcMar>
              <w:left w:w="108" w:type="dxa"/>
              <w:right w:w="108" w:type="dxa"/>
            </w:tcMar>
            <w:vAlign w:val="center"/>
          </w:tcPr>
          <w:p>
            <w:pPr>
              <w:wordWrap w:val="0"/>
              <w:jc w:val="center"/>
              <w:rPr>
                <w:rFonts w:ascii="Times New Roman" w:hAnsi="Times New Roman" w:eastAsia="仿宋_GB2312"/>
                <w:szCs w:val="21"/>
              </w:rPr>
            </w:pPr>
          </w:p>
        </w:tc>
        <w:tc>
          <w:tcPr>
            <w:tcW w:w="747" w:type="dxa"/>
            <w:vMerge w:val="continue"/>
            <w:shd w:val="clear" w:color="auto" w:fill="auto"/>
            <w:tcMar>
              <w:left w:w="108" w:type="dxa"/>
              <w:right w:w="108" w:type="dxa"/>
            </w:tcMar>
            <w:vAlign w:val="center"/>
          </w:tcPr>
          <w:p>
            <w:pPr>
              <w:wordWrap w:val="0"/>
              <w:jc w:val="center"/>
              <w:rPr>
                <w:rFonts w:ascii="Times New Roman" w:hAnsi="Times New Roman" w:eastAsia="黑体"/>
                <w:szCs w:val="21"/>
              </w:rPr>
            </w:pPr>
          </w:p>
        </w:tc>
        <w:tc>
          <w:tcPr>
            <w:tcW w:w="540" w:type="dxa"/>
            <w:shd w:val="clear" w:color="auto" w:fill="auto"/>
            <w:tcMar>
              <w:left w:w="108" w:type="dxa"/>
              <w:right w:w="108" w:type="dxa"/>
            </w:tcMar>
            <w:vAlign w:val="center"/>
          </w:tcPr>
          <w:p>
            <w:pPr>
              <w:widowControl/>
              <w:wordWrap w:val="0"/>
              <w:spacing w:line="320" w:lineRule="exact"/>
              <w:ind w:left="-106" w:leftChars="-51" w:right="-107" w:rightChars="-51" w:hanging="1"/>
              <w:jc w:val="center"/>
              <w:rPr>
                <w:rFonts w:ascii="Times New Roman" w:hAnsi="Times New Roman" w:eastAsia="黑体"/>
                <w:szCs w:val="21"/>
              </w:rPr>
            </w:pPr>
            <w:r>
              <w:rPr>
                <w:rFonts w:hint="eastAsia" w:ascii="Times New Roman" w:hAnsi="Times New Roman" w:eastAsia="黑体"/>
                <w:kern w:val="0"/>
                <w:szCs w:val="21"/>
              </w:rPr>
              <w:t>商业企业</w:t>
            </w:r>
          </w:p>
        </w:tc>
        <w:tc>
          <w:tcPr>
            <w:tcW w:w="540" w:type="dxa"/>
            <w:shd w:val="clear" w:color="auto" w:fill="auto"/>
            <w:tcMar>
              <w:left w:w="108" w:type="dxa"/>
              <w:right w:w="108" w:type="dxa"/>
            </w:tcMar>
            <w:vAlign w:val="center"/>
          </w:tcPr>
          <w:p>
            <w:pPr>
              <w:widowControl/>
              <w:wordWrap w:val="0"/>
              <w:spacing w:line="320" w:lineRule="exact"/>
              <w:ind w:left="-107" w:leftChars="-51" w:right="-107" w:rightChars="-51"/>
              <w:jc w:val="center"/>
              <w:rPr>
                <w:rFonts w:ascii="Times New Roman" w:hAnsi="Times New Roman" w:eastAsia="黑体"/>
                <w:szCs w:val="21"/>
              </w:rPr>
            </w:pPr>
            <w:r>
              <w:rPr>
                <w:rFonts w:hint="eastAsia" w:ascii="Times New Roman" w:hAnsi="Times New Roman" w:eastAsia="黑体"/>
                <w:kern w:val="0"/>
                <w:szCs w:val="21"/>
              </w:rPr>
              <w:t>科研机构</w:t>
            </w:r>
          </w:p>
        </w:tc>
        <w:tc>
          <w:tcPr>
            <w:tcW w:w="720" w:type="dxa"/>
            <w:shd w:val="clear" w:color="auto" w:fill="auto"/>
            <w:tcMar>
              <w:left w:w="108" w:type="dxa"/>
              <w:right w:w="108" w:type="dxa"/>
            </w:tcMar>
            <w:vAlign w:val="center"/>
          </w:tcPr>
          <w:p>
            <w:pPr>
              <w:widowControl/>
              <w:wordWrap w:val="0"/>
              <w:spacing w:line="320" w:lineRule="exact"/>
              <w:ind w:left="-107" w:leftChars="-51" w:right="-107" w:rightChars="-51"/>
              <w:jc w:val="center"/>
              <w:rPr>
                <w:rFonts w:ascii="Times New Roman" w:hAnsi="Times New Roman" w:eastAsia="黑体"/>
                <w:szCs w:val="21"/>
              </w:rPr>
            </w:pPr>
            <w:r>
              <w:rPr>
                <w:rFonts w:hint="eastAsia" w:ascii="Times New Roman" w:hAnsi="Times New Roman" w:eastAsia="黑体"/>
                <w:kern w:val="0"/>
                <w:szCs w:val="21"/>
              </w:rPr>
              <w:t>社会公益组织</w:t>
            </w:r>
          </w:p>
        </w:tc>
        <w:tc>
          <w:tcPr>
            <w:tcW w:w="675" w:type="dxa"/>
            <w:shd w:val="clear" w:color="auto" w:fill="auto"/>
            <w:tcMar>
              <w:left w:w="108" w:type="dxa"/>
              <w:right w:w="108" w:type="dxa"/>
            </w:tcMar>
            <w:vAlign w:val="center"/>
          </w:tcPr>
          <w:p>
            <w:pPr>
              <w:widowControl/>
              <w:wordWrap w:val="0"/>
              <w:spacing w:line="320" w:lineRule="exact"/>
              <w:ind w:left="-106" w:leftChars="-51" w:right="-107" w:rightChars="-51" w:hanging="1"/>
              <w:jc w:val="center"/>
              <w:rPr>
                <w:rFonts w:ascii="Times New Roman" w:hAnsi="Times New Roman" w:eastAsia="黑体"/>
                <w:szCs w:val="21"/>
              </w:rPr>
            </w:pPr>
            <w:r>
              <w:rPr>
                <w:rFonts w:hint="eastAsia" w:ascii="Times New Roman" w:hAnsi="Times New Roman" w:eastAsia="黑体"/>
                <w:kern w:val="0"/>
                <w:szCs w:val="21"/>
              </w:rPr>
              <w:t>法律服务机构</w:t>
            </w:r>
          </w:p>
        </w:tc>
        <w:tc>
          <w:tcPr>
            <w:tcW w:w="525" w:type="dxa"/>
            <w:shd w:val="clear" w:color="auto" w:fill="auto"/>
            <w:tcMar>
              <w:left w:w="108" w:type="dxa"/>
              <w:right w:w="108" w:type="dxa"/>
            </w:tcMar>
            <w:vAlign w:val="center"/>
          </w:tcPr>
          <w:p>
            <w:pPr>
              <w:widowControl/>
              <w:wordWrap w:val="0"/>
              <w:spacing w:line="360" w:lineRule="exact"/>
              <w:ind w:left="-63" w:leftChars="-30" w:right="-134" w:rightChars="-64"/>
              <w:jc w:val="center"/>
              <w:rPr>
                <w:rFonts w:ascii="Times New Roman" w:hAnsi="Times New Roman" w:eastAsia="黑体"/>
                <w:szCs w:val="21"/>
              </w:rPr>
            </w:pPr>
            <w:r>
              <w:rPr>
                <w:rFonts w:hint="eastAsia" w:ascii="Times New Roman" w:hAnsi="Times New Roman" w:eastAsia="黑体"/>
                <w:kern w:val="0"/>
                <w:szCs w:val="21"/>
              </w:rPr>
              <w:t>其他</w:t>
            </w:r>
          </w:p>
        </w:tc>
        <w:tc>
          <w:tcPr>
            <w:tcW w:w="701" w:type="dxa"/>
            <w:vMerge w:val="continue"/>
            <w:shd w:val="clear" w:color="auto" w:fill="auto"/>
            <w:tcMar>
              <w:left w:w="108" w:type="dxa"/>
              <w:right w:w="108" w:type="dxa"/>
            </w:tcMar>
            <w:vAlign w:val="center"/>
          </w:tcPr>
          <w:p>
            <w:pPr>
              <w:wordWrap w:val="0"/>
              <w:jc w:val="center"/>
              <w:rPr>
                <w:rFonts w:ascii="Times New Roman"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wordWrap w:val="0"/>
              <w:rPr>
                <w:rFonts w:ascii="Times New Roman" w:hAnsi="Times New Roman" w:eastAsia="黑体"/>
                <w:szCs w:val="21"/>
              </w:rPr>
            </w:pPr>
            <w:r>
              <w:rPr>
                <w:rFonts w:hint="eastAsia" w:ascii="Times New Roman" w:hAnsi="Times New Roman" w:eastAsia="黑体"/>
                <w:kern w:val="0"/>
                <w:szCs w:val="21"/>
              </w:rPr>
              <w:t>一、</w:t>
            </w:r>
            <w:bookmarkStart w:id="0" w:name="_Hlk66973412"/>
            <w:r>
              <w:rPr>
                <w:rFonts w:hint="eastAsia" w:ascii="Times New Roman" w:hAnsi="Times New Roman" w:eastAsia="黑体"/>
                <w:kern w:val="0"/>
                <w:szCs w:val="21"/>
              </w:rPr>
              <w:t>本年新收政府信息公开申请数量</w:t>
            </w:r>
            <w:bookmarkEnd w:id="0"/>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wordWrap w:val="0"/>
              <w:rPr>
                <w:rFonts w:ascii="Times New Roman" w:hAnsi="Times New Roman" w:eastAsia="黑体"/>
                <w:szCs w:val="21"/>
              </w:rPr>
            </w:pPr>
            <w:r>
              <w:rPr>
                <w:rFonts w:hint="eastAsia" w:ascii="Times New Roman" w:hAnsi="Times New Roman" w:eastAsia="黑体"/>
                <w:kern w:val="0"/>
                <w:szCs w:val="21"/>
              </w:rPr>
              <w:t>二、上年结转政府信息公开申请数量</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restart"/>
            <w:shd w:val="clear" w:color="auto" w:fill="auto"/>
            <w:tcMar>
              <w:left w:w="108" w:type="dxa"/>
              <w:right w:w="108" w:type="dxa"/>
            </w:tcMar>
            <w:vAlign w:val="center"/>
          </w:tcPr>
          <w:p>
            <w:pPr>
              <w:widowControl/>
              <w:wordWrap w:val="0"/>
              <w:spacing w:after="180"/>
              <w:rPr>
                <w:rFonts w:ascii="Times New Roman" w:hAnsi="Times New Roman" w:eastAsia="黑体"/>
                <w:szCs w:val="21"/>
              </w:rPr>
            </w:pPr>
            <w:r>
              <w:rPr>
                <w:rFonts w:hint="eastAsia" w:ascii="Times New Roman" w:hAnsi="Times New Roman" w:eastAsia="黑体"/>
                <w:kern w:val="0"/>
                <w:szCs w:val="21"/>
              </w:rPr>
              <w:t>三、本年度办理结果</w:t>
            </w:r>
          </w:p>
        </w:tc>
        <w:tc>
          <w:tcPr>
            <w:tcW w:w="4677" w:type="dxa"/>
            <w:gridSpan w:val="2"/>
            <w:shd w:val="clear" w:color="auto" w:fill="auto"/>
            <w:tcMar>
              <w:left w:w="108" w:type="dxa"/>
              <w:right w:w="108" w:type="dxa"/>
            </w:tcMar>
            <w:vAlign w:val="center"/>
          </w:tcPr>
          <w:p>
            <w:pPr>
              <w:widowControl/>
              <w:wordWrap w:val="0"/>
              <w:rPr>
                <w:rFonts w:ascii="Times New Roman" w:hAnsi="Times New Roman" w:eastAsia="黑体"/>
                <w:szCs w:val="21"/>
              </w:rPr>
            </w:pPr>
            <w:r>
              <w:rPr>
                <w:rFonts w:hint="eastAsia" w:ascii="Times New Roman" w:hAnsi="Times New Roman" w:eastAsia="黑体"/>
                <w:kern w:val="0"/>
                <w:szCs w:val="21"/>
              </w:rPr>
              <w:t>（一）予以公开</w:t>
            </w:r>
          </w:p>
        </w:tc>
        <w:tc>
          <w:tcPr>
            <w:tcW w:w="752"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3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6"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4677" w:type="dxa"/>
            <w:gridSpan w:val="2"/>
            <w:shd w:val="clear" w:color="auto" w:fill="auto"/>
            <w:tcMar>
              <w:left w:w="108" w:type="dxa"/>
              <w:right w:w="108" w:type="dxa"/>
            </w:tcMar>
            <w:vAlign w:val="center"/>
          </w:tcPr>
          <w:p>
            <w:pPr>
              <w:widowControl/>
              <w:wordWrap w:val="0"/>
              <w:rPr>
                <w:rFonts w:ascii="Times New Roman" w:hAnsi="Times New Roman" w:eastAsia="黑体"/>
                <w:szCs w:val="21"/>
              </w:rPr>
            </w:pPr>
            <w:r>
              <w:rPr>
                <w:rFonts w:hint="eastAsia" w:ascii="Times New Roman" w:hAnsi="Times New Roman" w:eastAsia="黑体"/>
                <w:kern w:val="0"/>
                <w:szCs w:val="21"/>
              </w:rPr>
              <w:t>（二）部分公开（</w:t>
            </w:r>
            <w:bookmarkStart w:id="1" w:name="_Hlk66973981"/>
            <w:r>
              <w:rPr>
                <w:rFonts w:hint="eastAsia" w:ascii="Times New Roman" w:hAnsi="Times New Roman" w:eastAsia="黑体"/>
                <w:kern w:val="0"/>
                <w:szCs w:val="21"/>
              </w:rPr>
              <w:t>区分处理的，只计这一情形，不计其他情形</w:t>
            </w:r>
            <w:bookmarkEnd w:id="1"/>
            <w:r>
              <w:rPr>
                <w:rFonts w:hint="eastAsia" w:ascii="Times New Roman" w:hAnsi="Times New Roman" w:eastAsia="黑体"/>
                <w:kern w:val="0"/>
                <w:szCs w:val="21"/>
              </w:rPr>
              <w:t>）</w:t>
            </w:r>
          </w:p>
        </w:tc>
        <w:tc>
          <w:tcPr>
            <w:tcW w:w="752"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color w:val="FF0000"/>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3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6"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widowControl/>
              <w:wordWrap w:val="0"/>
              <w:spacing w:line="200" w:lineRule="exact"/>
              <w:ind w:left="-107" w:leftChars="-51"/>
              <w:rPr>
                <w:rFonts w:ascii="Times New Roman" w:hAnsi="Times New Roman" w:eastAsia="黑体"/>
                <w:szCs w:val="21"/>
              </w:rPr>
            </w:pPr>
            <w:r>
              <w:rPr>
                <w:rFonts w:hint="eastAsia" w:ascii="Times New Roman" w:hAnsi="Times New Roman" w:eastAsia="黑体"/>
                <w:kern w:val="0"/>
                <w:szCs w:val="21"/>
              </w:rPr>
              <w:t>（三）不予公开</w:t>
            </w: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1.属于国家秘密</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2.</w:t>
            </w:r>
            <w:bookmarkStart w:id="2" w:name="_Hlk66974104"/>
            <w:r>
              <w:rPr>
                <w:rFonts w:hint="eastAsia" w:ascii="Times New Roman" w:hAnsi="Times New Roman" w:eastAsia="仿宋_GB2312"/>
                <w:kern w:val="0"/>
                <w:szCs w:val="21"/>
              </w:rPr>
              <w:t>其他法律行政法规禁止公开</w:t>
            </w:r>
            <w:bookmarkEnd w:id="2"/>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3.危及“三安全一稳定”</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4.</w:t>
            </w:r>
            <w:bookmarkStart w:id="3" w:name="_Hlk66974290"/>
            <w:r>
              <w:rPr>
                <w:rFonts w:hint="eastAsia" w:ascii="Times New Roman" w:hAnsi="Times New Roman" w:eastAsia="仿宋_GB2312"/>
                <w:kern w:val="0"/>
                <w:szCs w:val="21"/>
              </w:rPr>
              <w:t>保护第三方合法权益</w:t>
            </w:r>
            <w:bookmarkEnd w:id="3"/>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5.属于三类内部事务信息</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6.</w:t>
            </w:r>
            <w:bookmarkStart w:id="4" w:name="_Hlk66974555"/>
            <w:r>
              <w:rPr>
                <w:rFonts w:hint="eastAsia" w:ascii="Times New Roman" w:hAnsi="Times New Roman" w:eastAsia="仿宋_GB2312"/>
                <w:kern w:val="0"/>
                <w:szCs w:val="21"/>
              </w:rPr>
              <w:t>属于四类过程性信息</w:t>
            </w:r>
            <w:bookmarkEnd w:id="4"/>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7.属于行政执法案卷</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8.</w:t>
            </w:r>
            <w:bookmarkStart w:id="5" w:name="_Hlk66975211"/>
            <w:r>
              <w:rPr>
                <w:rFonts w:hint="eastAsia" w:ascii="Times New Roman" w:hAnsi="Times New Roman" w:eastAsia="仿宋_GB2312"/>
                <w:kern w:val="0"/>
                <w:szCs w:val="21"/>
              </w:rPr>
              <w:t>属于行政查询事项</w:t>
            </w:r>
            <w:bookmarkEnd w:id="5"/>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widowControl/>
              <w:wordWrap w:val="0"/>
              <w:spacing w:line="200" w:lineRule="exact"/>
              <w:ind w:left="-107" w:leftChars="-51"/>
              <w:rPr>
                <w:rFonts w:ascii="Times New Roman" w:hAnsi="Times New Roman" w:eastAsia="黑体"/>
                <w:szCs w:val="21"/>
              </w:rPr>
            </w:pPr>
            <w:r>
              <w:rPr>
                <w:rFonts w:hint="eastAsia" w:ascii="Times New Roman" w:hAnsi="Times New Roman" w:eastAsia="黑体"/>
                <w:kern w:val="0"/>
                <w:szCs w:val="21"/>
              </w:rPr>
              <w:t>（四）无法提供</w:t>
            </w: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1.本机关不掌握相关政府信息</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ind w:left="-107" w:leftChars="-51"/>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2.</w:t>
            </w:r>
            <w:bookmarkStart w:id="6" w:name="_Hlk66975392"/>
            <w:r>
              <w:rPr>
                <w:rFonts w:hint="eastAsia" w:ascii="Times New Roman" w:hAnsi="Times New Roman" w:eastAsia="仿宋_GB2312"/>
                <w:kern w:val="0"/>
                <w:szCs w:val="21"/>
              </w:rPr>
              <w:t>没有现成信息需要另行制作</w:t>
            </w:r>
            <w:bookmarkEnd w:id="6"/>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ind w:left="-107" w:leftChars="-51"/>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3.</w:t>
            </w:r>
            <w:bookmarkStart w:id="7" w:name="_Hlk66975466"/>
            <w:r>
              <w:rPr>
                <w:rFonts w:hint="eastAsia" w:ascii="Times New Roman" w:hAnsi="Times New Roman" w:eastAsia="仿宋_GB2312"/>
                <w:kern w:val="0"/>
                <w:szCs w:val="21"/>
              </w:rPr>
              <w:t>补正后申请内容仍不明确</w:t>
            </w:r>
            <w:bookmarkEnd w:id="7"/>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widowControl/>
              <w:wordWrap w:val="0"/>
              <w:spacing w:line="200" w:lineRule="exact"/>
              <w:ind w:left="-107" w:leftChars="-51"/>
              <w:rPr>
                <w:rFonts w:ascii="Times New Roman" w:hAnsi="Times New Roman" w:eastAsia="黑体"/>
                <w:szCs w:val="21"/>
              </w:rPr>
            </w:pPr>
            <w:r>
              <w:rPr>
                <w:rFonts w:hint="eastAsia" w:ascii="Times New Roman" w:hAnsi="Times New Roman" w:eastAsia="黑体"/>
                <w:kern w:val="0"/>
                <w:szCs w:val="21"/>
              </w:rPr>
              <w:t>（五）不予处理</w:t>
            </w: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1.</w:t>
            </w:r>
            <w:bookmarkStart w:id="8" w:name="_Hlk66975537"/>
            <w:r>
              <w:rPr>
                <w:rFonts w:hint="eastAsia" w:ascii="Times New Roman" w:hAnsi="Times New Roman" w:eastAsia="仿宋_GB2312"/>
                <w:kern w:val="0"/>
                <w:szCs w:val="21"/>
              </w:rPr>
              <w:t>信访举报投诉类申请</w:t>
            </w:r>
            <w:bookmarkEnd w:id="8"/>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kern w:val="0"/>
                <w:szCs w:val="21"/>
              </w:rPr>
            </w:pPr>
            <w:r>
              <w:rPr>
                <w:rFonts w:hint="eastAsia" w:ascii="Times New Roman" w:hAnsi="Times New Roman" w:eastAsia="仿宋_GB2312"/>
                <w:kern w:val="0"/>
                <w:szCs w:val="21"/>
              </w:rPr>
              <w:t>2.重复申请</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szCs w:val="21"/>
              </w:rPr>
            </w:pPr>
            <w:r>
              <w:rPr>
                <w:rFonts w:hint="eastAsia" w:ascii="Times New Roman" w:hAnsi="Times New Roman" w:eastAsia="仿宋_GB2312"/>
                <w:kern w:val="0"/>
                <w:szCs w:val="21"/>
              </w:rPr>
              <w:t>3.要求提供公开出版物</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200" w:lineRule="exact"/>
              <w:rPr>
                <w:rFonts w:ascii="Times New Roman" w:hAnsi="Times New Roman" w:eastAsia="仿宋_GB2312"/>
                <w:szCs w:val="21"/>
              </w:rPr>
            </w:pPr>
            <w:r>
              <w:rPr>
                <w:rFonts w:hint="eastAsia" w:ascii="Times New Roman" w:hAnsi="Times New Roman" w:eastAsia="仿宋_GB2312"/>
                <w:kern w:val="0"/>
                <w:szCs w:val="21"/>
              </w:rPr>
              <w:t>4.无正当理由大量反复申请</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ordWrap w:val="0"/>
              <w:spacing w:line="200" w:lineRule="exact"/>
              <w:rPr>
                <w:rFonts w:ascii="Times New Roman" w:hAnsi="Times New Roman" w:eastAsia="黑体"/>
                <w:szCs w:val="21"/>
              </w:rPr>
            </w:pPr>
          </w:p>
        </w:tc>
        <w:tc>
          <w:tcPr>
            <w:tcW w:w="2976" w:type="dxa"/>
            <w:shd w:val="clear" w:color="auto" w:fill="auto"/>
            <w:tcMar>
              <w:left w:w="108" w:type="dxa"/>
              <w:right w:w="108" w:type="dxa"/>
            </w:tcMar>
            <w:vAlign w:val="center"/>
          </w:tcPr>
          <w:p>
            <w:pPr>
              <w:widowControl/>
              <w:wordWrap w:val="0"/>
              <w:spacing w:line="300" w:lineRule="exact"/>
              <w:rPr>
                <w:rFonts w:ascii="Times New Roman" w:hAnsi="Times New Roman" w:eastAsia="仿宋_GB2312"/>
                <w:kern w:val="0"/>
                <w:szCs w:val="21"/>
              </w:rPr>
            </w:pPr>
            <w:r>
              <w:rPr>
                <w:rFonts w:hint="eastAsia" w:ascii="Times New Roman" w:hAnsi="Times New Roman" w:eastAsia="仿宋_GB2312"/>
                <w:kern w:val="0"/>
                <w:szCs w:val="21"/>
              </w:rPr>
              <w:t>5.要求行政机关确认或重新</w:t>
            </w:r>
          </w:p>
          <w:p>
            <w:pPr>
              <w:widowControl/>
              <w:wordWrap w:val="0"/>
              <w:spacing w:line="300" w:lineRule="exact"/>
              <w:ind w:firstLine="210" w:firstLineChars="100"/>
              <w:rPr>
                <w:rFonts w:ascii="Times New Roman" w:hAnsi="Times New Roman" w:eastAsia="仿宋_GB2312"/>
                <w:szCs w:val="21"/>
              </w:rPr>
            </w:pPr>
            <w:r>
              <w:rPr>
                <w:rFonts w:hint="eastAsia" w:ascii="Times New Roman" w:hAnsi="Times New Roman" w:eastAsia="仿宋_GB2312"/>
                <w:kern w:val="0"/>
                <w:szCs w:val="21"/>
              </w:rPr>
              <w:t>出具已获取信息</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widowControl/>
              <w:wordWrap w:val="0"/>
              <w:spacing w:line="300" w:lineRule="exact"/>
              <w:rPr>
                <w:rFonts w:ascii="Times New Roman" w:hAnsi="Times New Roman" w:eastAsia="黑体"/>
                <w:kern w:val="0"/>
                <w:szCs w:val="21"/>
              </w:rPr>
            </w:pPr>
            <w:r>
              <w:rPr>
                <w:rFonts w:hint="eastAsia" w:ascii="Times New Roman" w:hAnsi="Times New Roman" w:eastAsia="黑体"/>
                <w:kern w:val="0"/>
                <w:szCs w:val="21"/>
              </w:rPr>
              <w:t>（六）其他处理</w:t>
            </w:r>
          </w:p>
        </w:tc>
        <w:tc>
          <w:tcPr>
            <w:tcW w:w="2976" w:type="dxa"/>
            <w:shd w:val="clear" w:color="auto" w:fill="auto"/>
            <w:vAlign w:val="center"/>
          </w:tcPr>
          <w:p>
            <w:pPr>
              <w:widowControl/>
              <w:wordWrap w:val="0"/>
              <w:spacing w:line="300" w:lineRule="exact"/>
              <w:rPr>
                <w:rFonts w:ascii="Times New Roman" w:hAnsi="Times New Roman" w:eastAsia="仿宋_GB2312"/>
              </w:rPr>
            </w:pPr>
            <w:r>
              <w:rPr>
                <w:rFonts w:hint="eastAsia" w:ascii="Times New Roman" w:hAnsi="Times New Roman" w:eastAsia="仿宋_GB2312"/>
              </w:rPr>
              <w:t>1.申请人无正当理由逾期不补正、行政机关不再处理其政府信息公开申请</w:t>
            </w:r>
          </w:p>
        </w:tc>
        <w:tc>
          <w:tcPr>
            <w:tcW w:w="747"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idowControl/>
              <w:wordWrap w:val="0"/>
              <w:spacing w:line="300" w:lineRule="exact"/>
              <w:rPr>
                <w:rFonts w:ascii="Times New Roman" w:hAnsi="Times New Roman" w:eastAsia="黑体"/>
                <w:kern w:val="0"/>
                <w:szCs w:val="21"/>
              </w:rPr>
            </w:pPr>
          </w:p>
        </w:tc>
        <w:tc>
          <w:tcPr>
            <w:tcW w:w="2976" w:type="dxa"/>
            <w:shd w:val="clear" w:color="auto" w:fill="auto"/>
            <w:vAlign w:val="center"/>
          </w:tcPr>
          <w:p>
            <w:pPr>
              <w:widowControl/>
              <w:wordWrap w:val="0"/>
              <w:spacing w:line="300" w:lineRule="exact"/>
              <w:rPr>
                <w:rFonts w:ascii="Times New Roman" w:hAnsi="Times New Roman" w:eastAsia="仿宋_GB2312"/>
                <w:kern w:val="0"/>
                <w:szCs w:val="21"/>
              </w:rPr>
            </w:pPr>
            <w:r>
              <w:rPr>
                <w:rFonts w:hint="eastAsia" w:ascii="Times New Roman" w:hAnsi="Times New Roman" w:eastAsia="仿宋_GB2312"/>
              </w:rPr>
              <w:t>2.申请人逾期未按收费通知要求缴纳费用、行政机关不再处理其政府信息公开申请</w:t>
            </w:r>
          </w:p>
        </w:tc>
        <w:tc>
          <w:tcPr>
            <w:tcW w:w="747"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widowControl/>
              <w:wordWrap w:val="0"/>
              <w:spacing w:line="300" w:lineRule="exact"/>
              <w:rPr>
                <w:rFonts w:ascii="Times New Roman" w:hAnsi="Times New Roman" w:eastAsia="黑体"/>
                <w:kern w:val="0"/>
                <w:szCs w:val="21"/>
              </w:rPr>
            </w:pPr>
          </w:p>
        </w:tc>
        <w:tc>
          <w:tcPr>
            <w:tcW w:w="2976" w:type="dxa"/>
            <w:shd w:val="clear" w:color="auto" w:fill="auto"/>
            <w:vAlign w:val="center"/>
          </w:tcPr>
          <w:p>
            <w:pPr>
              <w:widowControl/>
              <w:wordWrap w:val="0"/>
              <w:spacing w:line="300" w:lineRule="exact"/>
              <w:rPr>
                <w:rFonts w:ascii="Times New Roman" w:hAnsi="Times New Roman" w:eastAsia="仿宋_GB2312"/>
                <w:kern w:val="0"/>
                <w:szCs w:val="21"/>
              </w:rPr>
            </w:pPr>
            <w:r>
              <w:rPr>
                <w:rFonts w:hint="eastAsia" w:ascii="Times New Roman" w:hAnsi="Times New Roman" w:eastAsia="仿宋_GB2312"/>
              </w:rPr>
              <w:t>3.其他</w:t>
            </w:r>
          </w:p>
        </w:tc>
        <w:tc>
          <w:tcPr>
            <w:tcW w:w="747"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wordWrap w:val="0"/>
              <w:rPr>
                <w:rFonts w:ascii="Times New Roman" w:hAnsi="Times New Roman" w:eastAsia="黑体"/>
                <w:szCs w:val="21"/>
              </w:rPr>
            </w:pPr>
          </w:p>
        </w:tc>
        <w:tc>
          <w:tcPr>
            <w:tcW w:w="4677" w:type="dxa"/>
            <w:gridSpan w:val="2"/>
            <w:shd w:val="clear" w:color="auto" w:fill="auto"/>
            <w:tcMar>
              <w:left w:w="108" w:type="dxa"/>
              <w:right w:w="108" w:type="dxa"/>
            </w:tcMar>
            <w:vAlign w:val="center"/>
          </w:tcPr>
          <w:p>
            <w:pPr>
              <w:widowControl/>
              <w:wordWrap w:val="0"/>
              <w:spacing w:line="300" w:lineRule="exact"/>
              <w:rPr>
                <w:rFonts w:ascii="Times New Roman" w:hAnsi="Times New Roman" w:eastAsia="黑体"/>
                <w:kern w:val="0"/>
                <w:szCs w:val="21"/>
              </w:rPr>
            </w:pPr>
            <w:r>
              <w:rPr>
                <w:rFonts w:hint="eastAsia" w:ascii="Times New Roman" w:hAnsi="Times New Roman" w:eastAsia="黑体"/>
                <w:kern w:val="0"/>
                <w:szCs w:val="21"/>
              </w:rPr>
              <w:t>（七）总计</w:t>
            </w:r>
          </w:p>
        </w:tc>
        <w:tc>
          <w:tcPr>
            <w:tcW w:w="747"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093" w:type="dxa"/>
            <w:gridSpan w:val="3"/>
            <w:shd w:val="clear" w:color="auto" w:fill="auto"/>
            <w:tcMar>
              <w:left w:w="108" w:type="dxa"/>
              <w:right w:w="108" w:type="dxa"/>
            </w:tcMar>
            <w:vAlign w:val="center"/>
          </w:tcPr>
          <w:p>
            <w:pPr>
              <w:widowControl/>
              <w:wordWrap w:val="0"/>
              <w:spacing w:line="300" w:lineRule="exact"/>
              <w:rPr>
                <w:rFonts w:ascii="Times New Roman" w:hAnsi="Times New Roman" w:eastAsia="黑体"/>
                <w:kern w:val="0"/>
                <w:szCs w:val="21"/>
              </w:rPr>
            </w:pPr>
            <w:r>
              <w:rPr>
                <w:rFonts w:hint="eastAsia" w:ascii="Times New Roman" w:hAnsi="Times New Roman" w:eastAsia="黑体"/>
                <w:kern w:val="0"/>
                <w:szCs w:val="21"/>
              </w:rPr>
              <w:t>四、结转下年度继续办理</w:t>
            </w:r>
          </w:p>
        </w:tc>
        <w:tc>
          <w:tcPr>
            <w:tcW w:w="747"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4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20"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67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525"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c>
          <w:tcPr>
            <w:tcW w:w="701" w:type="dxa"/>
            <w:shd w:val="clear" w:color="auto" w:fill="auto"/>
            <w:tcMar>
              <w:left w:w="108" w:type="dxa"/>
              <w:right w:w="108" w:type="dxa"/>
            </w:tcMar>
            <w:vAlign w:val="center"/>
          </w:tcPr>
          <w:p>
            <w:pPr>
              <w:widowControl/>
              <w:wordWrap w:val="0"/>
              <w:spacing w:line="240" w:lineRule="exact"/>
              <w:jc w:val="center"/>
              <w:rPr>
                <w:rFonts w:hint="eastAsia" w:ascii="Times New Roman" w:hAnsi="Times New Roman" w:eastAsia="仿宋_GB2312"/>
                <w:szCs w:val="21"/>
              </w:rPr>
            </w:pPr>
            <w:r>
              <w:rPr>
                <w:rFonts w:hint="eastAsia" w:ascii="Times New Roman" w:hAnsi="Times New Roman" w:eastAsia="仿宋_GB2312"/>
                <w:szCs w:val="21"/>
              </w:rPr>
              <w:t>0</w:t>
            </w:r>
          </w:p>
        </w:tc>
      </w:tr>
    </w:tbl>
    <w:p>
      <w:pPr>
        <w:wordWrap w:val="0"/>
        <w:rPr>
          <w:rFonts w:ascii="Times New Roman" w:hAnsi="Times New Roman" w:eastAsia="仿宋_GB2312"/>
          <w:sz w:val="32"/>
          <w:szCs w:val="32"/>
        </w:rPr>
      </w:pPr>
      <w:r>
        <w:rPr>
          <w:rFonts w:hint="eastAsia" w:ascii="Times New Roman" w:hAnsi="Times New Roman" w:eastAsia="黑体" w:cs="黑体"/>
          <w:bCs/>
          <w:color w:val="333333"/>
          <w:kern w:val="0"/>
          <w:sz w:val="32"/>
          <w:szCs w:val="32"/>
          <w:shd w:val="clear" w:color="auto" w:fill="FFFFFF"/>
          <w:lang w:bidi="ar"/>
        </w:rPr>
        <w:t>四、政府信息公开行政复议、行政诉讼情况</w:t>
      </w: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wordWrap w:val="0"/>
              <w:jc w:val="center"/>
              <w:rPr>
                <w:rFonts w:ascii="Times New Roman" w:hAnsi="Times New Roman" w:eastAsia="黑体"/>
              </w:rPr>
            </w:pPr>
            <w:r>
              <w:rPr>
                <w:rFonts w:ascii="Times New Roman" w:hAnsi="Times New Roman" w:eastAsia="黑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jc w:val="center"/>
              <w:rPr>
                <w:rFonts w:ascii="Times New Roman" w:hAnsi="Times New Roman" w:eastAsia="黑体"/>
              </w:rPr>
            </w:pPr>
            <w:r>
              <w:rPr>
                <w:rFonts w:ascii="Times New Roman" w:hAnsi="Times New Roman"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wordWrap w:val="0"/>
              <w:ind w:left="-149" w:leftChars="-71" w:right="-170" w:rightChars="-81"/>
              <w:jc w:val="center"/>
              <w:rPr>
                <w:rFonts w:ascii="Times New Roman" w:hAnsi="Times New Roman" w:eastAsia="黑体"/>
                <w:kern w:val="0"/>
                <w:sz w:val="20"/>
                <w:szCs w:val="20"/>
              </w:rPr>
            </w:pPr>
            <w:r>
              <w:rPr>
                <w:rFonts w:ascii="Times New Roman" w:hAnsi="Times New Roman" w:eastAsia="黑体"/>
                <w:kern w:val="0"/>
                <w:sz w:val="20"/>
                <w:szCs w:val="20"/>
              </w:rPr>
              <w:t>结果</w:t>
            </w:r>
          </w:p>
          <w:p>
            <w:pPr>
              <w:widowControl/>
              <w:wordWrap w:val="0"/>
              <w:ind w:left="-149" w:leftChars="-71" w:right="-170" w:rightChars="-81"/>
              <w:jc w:val="center"/>
              <w:rPr>
                <w:rFonts w:ascii="Times New Roman" w:hAnsi="Times New Roman" w:eastAsia="黑体"/>
              </w:rPr>
            </w:pPr>
            <w:r>
              <w:rPr>
                <w:rFonts w:ascii="Times New Roman" w:hAnsi="Times New Roman" w:eastAsia="黑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ind w:left="-43" w:leftChars="-21" w:right="-132" w:rightChars="-63" w:hanging="1"/>
              <w:jc w:val="center"/>
              <w:rPr>
                <w:rFonts w:ascii="Times New Roman" w:hAnsi="Times New Roman" w:eastAsia="黑体"/>
              </w:rPr>
            </w:pPr>
            <w:r>
              <w:rPr>
                <w:rFonts w:ascii="Times New Roman" w:hAnsi="Times New Roman" w:eastAsia="黑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ind w:left="-82" w:leftChars="-39" w:right="-97" w:rightChars="-46"/>
              <w:jc w:val="center"/>
              <w:rPr>
                <w:rFonts w:ascii="Times New Roman" w:hAnsi="Times New Roman" w:eastAsia="黑体"/>
              </w:rPr>
            </w:pPr>
            <w:r>
              <w:rPr>
                <w:rFonts w:ascii="Times New Roman" w:hAnsi="Times New Roman" w:eastAsia="黑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ind w:left="-118" w:leftChars="-56" w:right="-118" w:rightChars="-56"/>
              <w:jc w:val="center"/>
              <w:rPr>
                <w:rFonts w:ascii="Times New Roman" w:hAnsi="Times New Roman" w:eastAsia="黑体"/>
                <w:kern w:val="0"/>
                <w:sz w:val="20"/>
                <w:szCs w:val="20"/>
              </w:rPr>
            </w:pPr>
            <w:r>
              <w:rPr>
                <w:rFonts w:ascii="Times New Roman" w:hAnsi="Times New Roman" w:eastAsia="黑体"/>
                <w:kern w:val="0"/>
                <w:sz w:val="20"/>
                <w:szCs w:val="20"/>
              </w:rPr>
              <w:t>尚未</w:t>
            </w:r>
          </w:p>
          <w:p>
            <w:pPr>
              <w:widowControl/>
              <w:wordWrap w:val="0"/>
              <w:ind w:left="-118" w:leftChars="-56" w:right="-118" w:rightChars="-56"/>
              <w:jc w:val="center"/>
              <w:rPr>
                <w:rFonts w:ascii="Times New Roman" w:hAnsi="Times New Roman" w:eastAsia="黑体"/>
              </w:rPr>
            </w:pPr>
            <w:r>
              <w:rPr>
                <w:rFonts w:ascii="Times New Roman" w:hAnsi="Times New Roman" w:eastAsia="黑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spacing w:line="320" w:lineRule="exact"/>
              <w:jc w:val="center"/>
              <w:rPr>
                <w:rFonts w:ascii="Times New Roman" w:hAnsi="Times New Roman" w:eastAsia="黑体"/>
                <w:kern w:val="0"/>
                <w:sz w:val="20"/>
                <w:szCs w:val="20"/>
              </w:rPr>
            </w:pPr>
            <w:r>
              <w:rPr>
                <w:rFonts w:ascii="Times New Roman" w:hAnsi="Times New Roman" w:eastAsia="黑体"/>
                <w:kern w:val="0"/>
                <w:sz w:val="20"/>
                <w:szCs w:val="20"/>
              </w:rPr>
              <w:t>总</w:t>
            </w:r>
          </w:p>
          <w:p>
            <w:pPr>
              <w:widowControl/>
              <w:wordWrap w:val="0"/>
              <w:spacing w:line="320" w:lineRule="exact"/>
              <w:jc w:val="center"/>
              <w:rPr>
                <w:rFonts w:ascii="Times New Roman" w:hAnsi="Times New Roman" w:eastAsia="黑体"/>
              </w:rPr>
            </w:pPr>
            <w:r>
              <w:rPr>
                <w:rFonts w:ascii="Times New Roman" w:hAnsi="Times New Roman" w:eastAsia="黑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jc w:val="center"/>
              <w:rPr>
                <w:rFonts w:ascii="Times New Roman" w:hAnsi="Times New Roman" w:eastAsia="黑体"/>
              </w:rPr>
            </w:pPr>
            <w:r>
              <w:rPr>
                <w:rFonts w:ascii="Times New Roman" w:hAnsi="Times New Roman" w:eastAsia="黑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jc w:val="center"/>
              <w:rPr>
                <w:rFonts w:ascii="Times New Roman" w:hAnsi="Times New Roman" w:eastAsia="黑体"/>
              </w:rPr>
            </w:pPr>
            <w:bookmarkStart w:id="9" w:name="_Hlk67039688"/>
            <w:r>
              <w:rPr>
                <w:rFonts w:ascii="Times New Roman" w:hAnsi="Times New Roman" w:eastAsia="黑体"/>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ordWrap w:val="0"/>
              <w:rPr>
                <w:rFonts w:ascii="Times New Roman" w:hAnsi="Times New Roman" w:eastAsia="黑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ordWrap w:val="0"/>
              <w:rPr>
                <w:rFonts w:ascii="Times New Roman" w:hAnsi="Times New Roman"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ordWrap w:val="0"/>
              <w:rPr>
                <w:rFonts w:ascii="Times New Roman" w:hAnsi="Times New Roman"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ordWrap w:val="0"/>
              <w:rPr>
                <w:rFonts w:ascii="Times New Roman" w:hAnsi="Times New Roman" w:eastAsia="黑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ordWrap w:val="0"/>
              <w:rPr>
                <w:rFonts w:ascii="Times New Roman" w:hAnsi="Times New Roman" w:eastAsia="黑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ind w:left="-105" w:leftChars="-50" w:right="-126" w:rightChars="-60"/>
              <w:jc w:val="center"/>
              <w:rPr>
                <w:rFonts w:ascii="Times New Roman" w:hAnsi="Times New Roman" w:eastAsia="黑体"/>
              </w:rPr>
            </w:pPr>
            <w:r>
              <w:rPr>
                <w:rFonts w:ascii="Times New Roman" w:hAnsi="Times New Roman" w:eastAsia="黑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ind w:left="-86" w:leftChars="-41" w:right="-88" w:rightChars="-42"/>
              <w:jc w:val="center"/>
              <w:rPr>
                <w:rFonts w:ascii="Times New Roman" w:hAnsi="Times New Roman" w:eastAsia="黑体"/>
              </w:rPr>
            </w:pPr>
            <w:r>
              <w:rPr>
                <w:rFonts w:ascii="Times New Roman" w:hAnsi="Times New Roman" w:eastAsia="黑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ind w:left="-126" w:leftChars="-60" w:right="-136" w:rightChars="-65"/>
              <w:jc w:val="center"/>
              <w:rPr>
                <w:rFonts w:ascii="Times New Roman" w:hAnsi="Times New Roman" w:eastAsia="黑体"/>
                <w:kern w:val="0"/>
                <w:sz w:val="20"/>
                <w:szCs w:val="20"/>
              </w:rPr>
            </w:pPr>
            <w:r>
              <w:rPr>
                <w:rFonts w:ascii="Times New Roman" w:hAnsi="Times New Roman" w:eastAsia="黑体"/>
                <w:kern w:val="0"/>
                <w:sz w:val="20"/>
                <w:szCs w:val="20"/>
              </w:rPr>
              <w:t>其他</w:t>
            </w:r>
          </w:p>
          <w:p>
            <w:pPr>
              <w:widowControl/>
              <w:wordWrap w:val="0"/>
              <w:ind w:left="-126" w:leftChars="-60" w:right="-136" w:rightChars="-65"/>
              <w:jc w:val="center"/>
              <w:rPr>
                <w:rFonts w:ascii="Times New Roman" w:hAnsi="Times New Roman" w:eastAsia="黑体"/>
              </w:rPr>
            </w:pPr>
            <w:r>
              <w:rPr>
                <w:rFonts w:ascii="Times New Roman" w:hAnsi="Times New Roman" w:eastAsia="黑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ind w:left="-164" w:leftChars="-78" w:right="-153" w:rightChars="-73"/>
              <w:jc w:val="center"/>
              <w:rPr>
                <w:rFonts w:ascii="Times New Roman" w:hAnsi="Times New Roman" w:eastAsia="黑体"/>
                <w:kern w:val="0"/>
                <w:sz w:val="20"/>
                <w:szCs w:val="20"/>
              </w:rPr>
            </w:pPr>
            <w:r>
              <w:rPr>
                <w:rFonts w:ascii="Times New Roman" w:hAnsi="Times New Roman" w:eastAsia="黑体"/>
                <w:kern w:val="0"/>
                <w:sz w:val="20"/>
                <w:szCs w:val="20"/>
              </w:rPr>
              <w:t>尚未</w:t>
            </w:r>
          </w:p>
          <w:p>
            <w:pPr>
              <w:widowControl/>
              <w:wordWrap w:val="0"/>
              <w:ind w:left="-164" w:leftChars="-78" w:right="-153" w:rightChars="-73"/>
              <w:jc w:val="center"/>
              <w:rPr>
                <w:rFonts w:ascii="Times New Roman" w:hAnsi="Times New Roman" w:eastAsia="黑体"/>
              </w:rPr>
            </w:pPr>
            <w:r>
              <w:rPr>
                <w:rFonts w:ascii="Times New Roman" w:hAnsi="Times New Roman" w:eastAsia="黑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jc w:val="center"/>
              <w:rPr>
                <w:rFonts w:ascii="Times New Roman" w:hAnsi="Times New Roman" w:eastAsia="黑体"/>
              </w:rPr>
            </w:pPr>
            <w:r>
              <w:rPr>
                <w:rFonts w:ascii="Times New Roman" w:hAnsi="Times New Roman" w:eastAsia="黑体"/>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ind w:left="-99" w:leftChars="-47" w:right="-78" w:rightChars="-37"/>
              <w:jc w:val="center"/>
              <w:rPr>
                <w:rFonts w:ascii="Times New Roman" w:hAnsi="Times New Roman" w:eastAsia="黑体"/>
              </w:rPr>
            </w:pPr>
            <w:r>
              <w:rPr>
                <w:rFonts w:ascii="Times New Roman" w:hAnsi="Times New Roman" w:eastAsia="黑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ind w:left="-136" w:leftChars="-65" w:right="-124" w:rightChars="-59"/>
              <w:jc w:val="center"/>
              <w:rPr>
                <w:rFonts w:ascii="Times New Roman" w:hAnsi="Times New Roman" w:eastAsia="黑体"/>
                <w:kern w:val="0"/>
                <w:sz w:val="20"/>
                <w:szCs w:val="20"/>
              </w:rPr>
            </w:pPr>
            <w:r>
              <w:rPr>
                <w:rFonts w:ascii="Times New Roman" w:hAnsi="Times New Roman" w:eastAsia="黑体"/>
                <w:kern w:val="0"/>
                <w:sz w:val="20"/>
                <w:szCs w:val="20"/>
              </w:rPr>
              <w:t>结果</w:t>
            </w:r>
          </w:p>
          <w:p>
            <w:pPr>
              <w:widowControl/>
              <w:wordWrap w:val="0"/>
              <w:ind w:left="-136" w:leftChars="-65" w:right="-124" w:rightChars="-59"/>
              <w:jc w:val="center"/>
              <w:rPr>
                <w:rFonts w:ascii="Times New Roman" w:hAnsi="Times New Roman" w:eastAsia="黑体"/>
              </w:rPr>
            </w:pPr>
            <w:r>
              <w:rPr>
                <w:rFonts w:ascii="Times New Roman" w:hAnsi="Times New Roman" w:eastAsia="黑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ind w:left="-173" w:leftChars="-83" w:right="-134" w:rightChars="-64" w:hanging="1"/>
              <w:jc w:val="center"/>
              <w:rPr>
                <w:rFonts w:ascii="Times New Roman" w:hAnsi="Times New Roman" w:eastAsia="黑体"/>
                <w:kern w:val="0"/>
                <w:sz w:val="20"/>
                <w:szCs w:val="20"/>
              </w:rPr>
            </w:pPr>
            <w:r>
              <w:rPr>
                <w:rFonts w:ascii="Times New Roman" w:hAnsi="Times New Roman" w:eastAsia="黑体"/>
                <w:kern w:val="0"/>
                <w:sz w:val="20"/>
                <w:szCs w:val="20"/>
              </w:rPr>
              <w:t>其他</w:t>
            </w:r>
          </w:p>
          <w:p>
            <w:pPr>
              <w:widowControl/>
              <w:wordWrap w:val="0"/>
              <w:ind w:left="-173" w:leftChars="-83" w:right="-134" w:rightChars="-64" w:hanging="1"/>
              <w:jc w:val="center"/>
              <w:rPr>
                <w:rFonts w:ascii="Times New Roman" w:hAnsi="Times New Roman" w:eastAsia="黑体"/>
              </w:rPr>
            </w:pPr>
            <w:r>
              <w:rPr>
                <w:rFonts w:ascii="Times New Roman" w:hAnsi="Times New Roman" w:eastAsia="黑体"/>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ind w:left="-67" w:leftChars="-33" w:right="-105" w:rightChars="-50" w:hanging="2" w:hangingChars="1"/>
              <w:jc w:val="center"/>
              <w:rPr>
                <w:rFonts w:ascii="Times New Roman" w:hAnsi="Times New Roman" w:eastAsia="黑体"/>
              </w:rPr>
            </w:pPr>
            <w:r>
              <w:rPr>
                <w:rFonts w:ascii="Times New Roman" w:hAnsi="Times New Roman" w:eastAsia="黑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wordWrap w:val="0"/>
              <w:jc w:val="center"/>
              <w:rPr>
                <w:rFonts w:ascii="Times New Roman" w:hAnsi="Times New Roman" w:eastAsia="黑体"/>
              </w:rPr>
            </w:pPr>
            <w:r>
              <w:rPr>
                <w:rFonts w:ascii="Times New Roman" w:hAnsi="Times New Roman"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wordWrap w:val="0"/>
              <w:spacing w:after="180"/>
              <w:jc w:val="center"/>
              <w:rPr>
                <w:rFonts w:ascii="Times New Roman" w:hAnsi="Times New Roman"/>
              </w:rPr>
            </w:pPr>
            <w:r>
              <w:rPr>
                <w:rFonts w:hint="eastAsia" w:ascii="Times New Roman" w:hAnsi="Times New Roman"/>
              </w:rPr>
              <w:t>0</w:t>
            </w:r>
          </w:p>
        </w:tc>
      </w:tr>
    </w:tbl>
    <w:p>
      <w:pPr>
        <w:pStyle w:val="4"/>
        <w:widowControl/>
        <w:shd w:val="clear" w:color="auto" w:fill="FFFFFF"/>
        <w:wordWrap w:val="0"/>
        <w:spacing w:beforeAutospacing="0" w:afterAutospacing="0"/>
        <w:ind w:firstLine="640" w:firstLineChars="200"/>
        <w:jc w:val="both"/>
        <w:rPr>
          <w:rFonts w:ascii="Times New Roman" w:hAnsi="Times New Roman" w:eastAsia="黑体" w:cs="黑体"/>
          <w:bCs/>
          <w:color w:val="333333"/>
          <w:sz w:val="32"/>
          <w:szCs w:val="32"/>
          <w:shd w:val="clear" w:color="auto" w:fill="FFFFFF"/>
          <w:lang w:bidi="ar"/>
        </w:rPr>
      </w:pPr>
      <w:r>
        <w:rPr>
          <w:rFonts w:hint="eastAsia" w:ascii="Times New Roman" w:hAnsi="Times New Roman" w:eastAsia="黑体" w:cs="黑体"/>
          <w:bCs/>
          <w:color w:val="333333"/>
          <w:sz w:val="32"/>
          <w:szCs w:val="32"/>
          <w:shd w:val="clear" w:color="auto" w:fill="FFFFFF"/>
          <w:lang w:bidi="ar"/>
        </w:rPr>
        <w:t>五、存在的主要问题及改进情况</w:t>
      </w:r>
    </w:p>
    <w:p>
      <w:pPr>
        <w:pStyle w:val="4"/>
        <w:widowControl/>
        <w:shd w:val="clear" w:color="auto" w:fill="FFFFFF"/>
        <w:wordWrap w:val="0"/>
        <w:spacing w:beforeAutospacing="0" w:afterAutospacing="0"/>
        <w:ind w:firstLine="640" w:firstLineChars="200"/>
        <w:rPr>
          <w:rFonts w:hint="eastAsia" w:ascii="Times New Roman" w:hAnsi="Times New Roman" w:eastAsia="仿宋_GB2312" w:cs="仿宋_GB2312"/>
          <w:color w:val="000000" w:themeColor="text1"/>
          <w:kern w:val="2"/>
          <w:sz w:val="32"/>
          <w:szCs w:val="32"/>
          <w14:textFill>
            <w14:solidFill>
              <w14:schemeClr w14:val="tx1"/>
            </w14:solidFill>
          </w14:textFill>
        </w:rPr>
      </w:pPr>
      <w:r>
        <w:rPr>
          <w:rFonts w:hint="eastAsia" w:ascii="Times New Roman" w:hAnsi="Times New Roman" w:eastAsia="仿宋_GB2312" w:cs="仿宋_GB2312"/>
          <w:color w:val="000000" w:themeColor="text1"/>
          <w:kern w:val="2"/>
          <w:sz w:val="32"/>
          <w:szCs w:val="32"/>
          <w14:textFill>
            <w14:solidFill>
              <w14:schemeClr w14:val="tx1"/>
            </w14:solidFill>
          </w14:textFill>
        </w:rPr>
        <w:t>2023年，区供销社政府信息公开工作取得新成效，但仍与新形势下区委区政府对政府信息公开工作的要求和社会公众的期待有一定差距，政务信息公开整体水平有待进一步提升，深度和广度有待进一步拓展。</w:t>
      </w:r>
    </w:p>
    <w:p>
      <w:pPr>
        <w:pStyle w:val="4"/>
        <w:widowControl/>
        <w:shd w:val="clear" w:color="auto" w:fill="FFFFFF"/>
        <w:wordWrap w:val="0"/>
        <w:spacing w:beforeAutospacing="0" w:afterAutospacing="0"/>
        <w:ind w:firstLine="640" w:firstLineChars="200"/>
        <w:jc w:val="both"/>
        <w:rPr>
          <w:rFonts w:ascii="Times New Roman" w:hAnsi="Times New Roman" w:eastAsia="仿宋_GB2312" w:cs="仿宋_GB2312"/>
          <w:color w:val="000000" w:themeColor="text1"/>
          <w:kern w:val="2"/>
          <w:sz w:val="32"/>
          <w:szCs w:val="32"/>
          <w14:textFill>
            <w14:solidFill>
              <w14:schemeClr w14:val="tx1"/>
            </w14:solidFill>
          </w14:textFill>
        </w:rPr>
      </w:pPr>
      <w:r>
        <w:rPr>
          <w:rFonts w:hint="eastAsia" w:ascii="Times New Roman" w:hAnsi="Times New Roman" w:eastAsia="仿宋_GB2312" w:cs="仿宋_GB2312"/>
          <w:color w:val="000000" w:themeColor="text1"/>
          <w:kern w:val="2"/>
          <w:sz w:val="32"/>
          <w:szCs w:val="32"/>
          <w14:textFill>
            <w14:solidFill>
              <w14:schemeClr w14:val="tx1"/>
            </w14:solidFill>
          </w14:textFill>
        </w:rPr>
        <w:t>改进情况：进一步加强组织领导，明确推进政务公开的目标任务。要把政务公开工作作为经常性工作列入重要议事日程，积极推进这一工作</w:t>
      </w:r>
      <w:r>
        <w:rPr>
          <w:rFonts w:hint="eastAsia" w:ascii="Times New Roman" w:hAnsi="Times New Roman" w:eastAsia="仿宋_GB2312" w:cs="仿宋_GB2312"/>
          <w:color w:val="000000" w:themeColor="text1"/>
          <w:kern w:val="2"/>
          <w:sz w:val="32"/>
          <w:szCs w:val="32"/>
          <w:lang w:val="en-US" w:eastAsia="zh-CN"/>
          <w14:textFill>
            <w14:solidFill>
              <w14:schemeClr w14:val="tx1"/>
            </w14:solidFill>
          </w14:textFill>
        </w:rPr>
        <w:t>；</w:t>
      </w:r>
      <w:r>
        <w:rPr>
          <w:rFonts w:hint="eastAsia" w:ascii="Times New Roman" w:hAnsi="Times New Roman" w:eastAsia="仿宋_GB2312" w:cs="仿宋_GB2312"/>
          <w:color w:val="000000" w:themeColor="text1"/>
          <w:kern w:val="2"/>
          <w:sz w:val="32"/>
          <w:szCs w:val="32"/>
          <w14:textFill>
            <w14:solidFill>
              <w14:schemeClr w14:val="tx1"/>
            </w14:solidFill>
          </w14:textFill>
        </w:rPr>
        <w:t>加大政务公开的宣传力度，让广大人民群众熟悉政务公开；加强培训教育，造就一支具有现代公共管理知识和理念的政务公开队伍。</w:t>
      </w:r>
    </w:p>
    <w:p>
      <w:pPr>
        <w:pStyle w:val="4"/>
        <w:widowControl/>
        <w:shd w:val="clear" w:color="auto" w:fill="FFFFFF"/>
        <w:wordWrap w:val="0"/>
        <w:spacing w:beforeAutospacing="0" w:afterAutospacing="0"/>
        <w:ind w:firstLine="640" w:firstLineChars="200"/>
        <w:jc w:val="both"/>
        <w:rPr>
          <w:rFonts w:ascii="Times New Roman" w:hAnsi="Times New Roman" w:eastAsia="黑体" w:cs="黑体"/>
          <w:bCs/>
          <w:color w:val="333333"/>
          <w:sz w:val="32"/>
          <w:szCs w:val="32"/>
          <w:shd w:val="clear" w:color="auto" w:fill="FFFFFF"/>
          <w:lang w:bidi="ar"/>
        </w:rPr>
      </w:pPr>
      <w:r>
        <w:rPr>
          <w:rFonts w:hint="eastAsia" w:ascii="Times New Roman" w:hAnsi="Times New Roman" w:eastAsia="黑体" w:cs="黑体"/>
          <w:bCs/>
          <w:color w:val="333333"/>
          <w:sz w:val="32"/>
          <w:szCs w:val="32"/>
          <w:shd w:val="clear" w:color="auto" w:fill="FFFFFF"/>
          <w:lang w:bidi="ar"/>
        </w:rPr>
        <w:t>六、其他需要报告的事项</w:t>
      </w:r>
    </w:p>
    <w:p>
      <w:pPr>
        <w:wordWrap w:val="0"/>
        <w:spacing w:line="560" w:lineRule="exact"/>
        <w:ind w:firstLine="643"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b/>
          <w:bCs/>
          <w:sz w:val="32"/>
          <w:szCs w:val="32"/>
        </w:rPr>
        <w:t>（一）依据《政府信息公开信息处理费管理办法》收取信息处理费的情况。</w:t>
      </w:r>
      <w:r>
        <w:rPr>
          <w:rFonts w:hint="eastAsia" w:ascii="Times New Roman" w:hAnsi="Times New Roman" w:eastAsia="仿宋_GB2312" w:cs="仿宋_GB2312"/>
          <w:color w:val="000000" w:themeColor="text1"/>
          <w:sz w:val="32"/>
          <w:szCs w:val="32"/>
          <w14:textFill>
            <w14:solidFill>
              <w14:schemeClr w14:val="tx1"/>
            </w14:solidFill>
          </w14:textFill>
        </w:rPr>
        <w:t>2023年度未收取依申请公开信息处理费。</w:t>
      </w:r>
    </w:p>
    <w:p>
      <w:pPr>
        <w:wordWrap w:val="0"/>
        <w:spacing w:line="560" w:lineRule="exact"/>
        <w:ind w:firstLine="643"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b/>
          <w:bCs/>
          <w:sz w:val="32"/>
          <w:szCs w:val="32"/>
        </w:rPr>
        <w:t>（二）本年度人大代表建议和政协提案办理情况。</w:t>
      </w:r>
      <w:r>
        <w:rPr>
          <w:rFonts w:hint="eastAsia" w:ascii="Times New Roman" w:hAnsi="Times New Roman" w:eastAsia="仿宋_GB2312" w:cs="仿宋_GB2312"/>
          <w:color w:val="000000" w:themeColor="text1"/>
          <w:sz w:val="32"/>
          <w:szCs w:val="32"/>
          <w14:textFill>
            <w14:solidFill>
              <w14:schemeClr w14:val="tx1"/>
            </w14:solidFill>
          </w14:textFill>
        </w:rPr>
        <w:t>2023年度未收到人大代表建议/政协提案。</w:t>
      </w:r>
    </w:p>
    <w:p>
      <w:pPr>
        <w:wordWrap w:val="0"/>
        <w:spacing w:line="560" w:lineRule="exact"/>
        <w:ind w:firstLine="643" w:firstLineChars="200"/>
        <w:rPr>
          <w:rFonts w:ascii="Times New Roman" w:hAnsi="Times New Roman" w:eastAsia="仿宋_GB2312" w:cs="仿宋_GB2312"/>
          <w:color w:val="FF0000"/>
          <w:sz w:val="32"/>
          <w:szCs w:val="32"/>
        </w:rPr>
      </w:pPr>
      <w:r>
        <w:rPr>
          <w:rFonts w:hint="eastAsia" w:ascii="Times New Roman" w:hAnsi="Times New Roman" w:eastAsia="仿宋_GB2312" w:cs="仿宋_GB2312"/>
          <w:b/>
          <w:bCs/>
          <w:sz w:val="32"/>
          <w:szCs w:val="32"/>
        </w:rPr>
        <w:t>（三）本单位在政务公开制度、内容、形式和平台建设方面的创新实践情况。</w:t>
      </w:r>
      <w:r>
        <w:rPr>
          <w:rFonts w:hint="eastAsia" w:ascii="Times New Roman" w:hAnsi="Times New Roman" w:eastAsia="仿宋_GB2312" w:cs="仿宋_GB2312"/>
          <w:color w:val="000000" w:themeColor="text1"/>
          <w:sz w:val="32"/>
          <w:szCs w:val="32"/>
          <w14:textFill>
            <w14:solidFill>
              <w14:schemeClr w14:val="tx1"/>
            </w14:solidFill>
          </w14:textFill>
        </w:rPr>
        <w:t>无。</w:t>
      </w:r>
    </w:p>
    <w:p>
      <w:pPr>
        <w:wordWrap w:val="0"/>
        <w:spacing w:line="560" w:lineRule="exact"/>
        <w:ind w:firstLine="643"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b/>
          <w:bCs/>
          <w:sz w:val="32"/>
          <w:szCs w:val="32"/>
        </w:rPr>
        <w:t>（四）《2023年张店区政务公开工作方案》落实情况。</w:t>
      </w:r>
      <w:r>
        <w:rPr>
          <w:rFonts w:hint="eastAsia" w:ascii="Times New Roman" w:hAnsi="Times New Roman" w:eastAsia="仿宋_GB2312" w:cs="仿宋_GB2312"/>
          <w:color w:val="000000" w:themeColor="text1"/>
          <w:sz w:val="32"/>
          <w:szCs w:val="32"/>
          <w14:textFill>
            <w14:solidFill>
              <w14:schemeClr w14:val="tx1"/>
            </w14:solidFill>
          </w14:textFill>
        </w:rPr>
        <w:t>根据《关于印发2023年政务公开工作方案的通知》要求，区供销社高度重视，围绕目标任务，细化责任分工，定期自查自纠，确保2023年度政务公开各项工作全面完成。一是健全政务公开组织体系。加强组织领导。进一步明确责任，充分发挥政务公开领导小组作用，建立了办公室牵头主抓、承担政务公开日常工作，并明确专职工作人员。切实发挥政府信息公开领导小组工作职责，完善政府信息公开工作程序和制度，确保政务公开工作有序、责任落实到位。二是加强政务信息管理。完善长效工作机制，规范办事服务信息。抓好上下政务公开信息报送工作，完善信息公开审查、发布制度，要求各科室每月报送信息至办公室，及时对政务信息进行更新。最后在重点工作上多下功夫，发现问题应及时督促整改。及时准确公开信息内容，确保群众更好地了解、掌握和使用政策。三是落实政务公开定期检查。建立政务公开情况检查制度，对有关科室责任清单事项公开不及时、公开迟缓的予以及时提醒，切实规范政务公开工作。同时按照政务公开的相关要求，确保政务公开不缺项、漏项，政务公开信息全面完整。</w:t>
      </w:r>
    </w:p>
    <w:p>
      <w:pPr>
        <w:wordWrap w:val="0"/>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p>
    <w:p>
      <w:pPr>
        <w:wordWrap w:val="0"/>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p>
    <w:p>
      <w:pPr>
        <w:wordWrap w:val="0"/>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p>
    <w:p>
      <w:pPr>
        <w:wordWrap w:val="0"/>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p>
    <w:p>
      <w:pPr>
        <w:pStyle w:val="4"/>
        <w:widowControl/>
        <w:shd w:val="clear" w:color="auto" w:fill="FFFFFF"/>
        <w:autoSpaceDE w:val="0"/>
        <w:snapToGrid w:val="0"/>
        <w:spacing w:beforeAutospacing="0" w:afterAutospacing="0" w:line="560" w:lineRule="atLeast"/>
        <w:jc w:val="center"/>
      </w:pPr>
      <w:r>
        <w:rPr>
          <w:rFonts w:hint="eastAsia" w:ascii="仿宋_GB2312" w:eastAsia="仿宋_GB2312" w:cs="仿宋_GB2312"/>
          <w:color w:val="000000"/>
          <w:sz w:val="32"/>
          <w:szCs w:val="32"/>
          <w:shd w:val="clear" w:color="auto" w:fill="FFFFFF"/>
        </w:rPr>
        <w:t xml:space="preserve"> </w:t>
      </w:r>
      <w:r>
        <w:rPr>
          <w:rFonts w:ascii="仿宋_GB2312" w:eastAsia="仿宋_GB2312" w:cs="仿宋_GB2312"/>
          <w:color w:val="000000"/>
          <w:sz w:val="32"/>
          <w:szCs w:val="32"/>
          <w:shd w:val="clear" w:color="auto" w:fill="FFFFFF"/>
        </w:rPr>
        <w:t xml:space="preserve">           张店区供销</w:t>
      </w:r>
      <w:r>
        <w:rPr>
          <w:rFonts w:hint="eastAsia" w:ascii="仿宋_GB2312" w:eastAsia="仿宋_GB2312" w:cs="仿宋_GB2312"/>
          <w:color w:val="000000"/>
          <w:sz w:val="32"/>
          <w:szCs w:val="32"/>
          <w:shd w:val="clear" w:color="auto" w:fill="FFFFFF"/>
        </w:rPr>
        <w:t>合作社联合</w:t>
      </w:r>
      <w:r>
        <w:rPr>
          <w:rFonts w:ascii="仿宋_GB2312" w:eastAsia="仿宋_GB2312" w:cs="仿宋_GB2312"/>
          <w:color w:val="000000"/>
          <w:sz w:val="32"/>
          <w:szCs w:val="32"/>
          <w:shd w:val="clear" w:color="auto" w:fill="FFFFFF"/>
        </w:rPr>
        <w:t xml:space="preserve">社 </w:t>
      </w:r>
    </w:p>
    <w:p>
      <w:pPr>
        <w:spacing w:line="560" w:lineRule="exact"/>
        <w:rPr>
          <w:rFonts w:hint="eastAsia" w:ascii="Times New Roman" w:hAnsi="Times New Roman"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sz w:val="32"/>
          <w:szCs w:val="32"/>
        </w:rPr>
        <w:t xml:space="preserve">                         </w:t>
      </w:r>
      <w:r>
        <w:rPr>
          <w:rFonts w:ascii="Times New Roman" w:hAnsi="Times New Roman" w:eastAsia="仿宋_GB2312" w:cs="Times New Roman"/>
          <w:color w:val="000000"/>
          <w:sz w:val="32"/>
          <w:szCs w:val="32"/>
        </w:rPr>
        <w:t>2023</w:t>
      </w:r>
      <w:r>
        <w:rPr>
          <w:rFonts w:ascii="仿宋_GB2312" w:eastAsia="仿宋_GB2312" w:cs="仿宋_GB2312"/>
          <w:color w:val="000000"/>
          <w:sz w:val="32"/>
          <w:szCs w:val="32"/>
        </w:rPr>
        <w:t>年</w:t>
      </w:r>
      <w:r>
        <w:rPr>
          <w:rFonts w:ascii="Times New Roman" w:hAnsi="Times New Roman" w:eastAsia="仿宋_GB2312" w:cs="Times New Roman"/>
          <w:color w:val="000000"/>
          <w:sz w:val="32"/>
          <w:szCs w:val="32"/>
        </w:rPr>
        <w:t>1</w:t>
      </w:r>
      <w:r>
        <w:rPr>
          <w:rFonts w:ascii="仿宋_GB2312" w:eastAsia="仿宋_GB2312" w:cs="仿宋_GB2312"/>
          <w:color w:val="000000"/>
          <w:sz w:val="32"/>
          <w:szCs w:val="32"/>
        </w:rPr>
        <w:t>月</w:t>
      </w:r>
      <w:r>
        <w:rPr>
          <w:rFonts w:ascii="Times New Roman" w:hAnsi="Times New Roman" w:eastAsia="仿宋_GB2312" w:cs="Times New Roman"/>
          <w:color w:val="000000"/>
          <w:sz w:val="32"/>
          <w:szCs w:val="32"/>
        </w:rPr>
        <w:t>15</w:t>
      </w:r>
      <w:r>
        <w:rPr>
          <w:rFonts w:ascii="仿宋_GB2312" w:eastAsia="仿宋_GB2312" w:cs="仿宋_GB2312"/>
          <w:color w:val="000000"/>
          <w:sz w:val="32"/>
          <w:szCs w:val="32"/>
        </w:rPr>
        <w:t>日</w:t>
      </w:r>
    </w:p>
    <w:sectPr>
      <w:footerReference r:id="rId3" w:type="default"/>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E842DC"/>
    <w:multiLevelType w:val="multilevel"/>
    <w:tmpl w:val="44E842DC"/>
    <w:lvl w:ilvl="0" w:tentative="0">
      <w:start w:val="1"/>
      <w:numFmt w:val="japaneseCounting"/>
      <w:lvlText w:val="（%1）"/>
      <w:lvlJc w:val="left"/>
      <w:pPr>
        <w:ind w:left="1723" w:hanging="1080"/>
      </w:pPr>
      <w:rPr>
        <w:rFonts w:hint="default"/>
        <w:b/>
      </w:rPr>
    </w:lvl>
    <w:lvl w:ilvl="1" w:tentative="0">
      <w:start w:val="1"/>
      <w:numFmt w:val="lowerLetter"/>
      <w:lvlText w:val="%2)"/>
      <w:lvlJc w:val="left"/>
      <w:pPr>
        <w:ind w:left="1523" w:hanging="440"/>
      </w:pPr>
    </w:lvl>
    <w:lvl w:ilvl="2" w:tentative="0">
      <w:start w:val="1"/>
      <w:numFmt w:val="lowerRoman"/>
      <w:lvlText w:val="%3."/>
      <w:lvlJc w:val="right"/>
      <w:pPr>
        <w:ind w:left="1963" w:hanging="440"/>
      </w:pPr>
    </w:lvl>
    <w:lvl w:ilvl="3" w:tentative="0">
      <w:start w:val="1"/>
      <w:numFmt w:val="decimal"/>
      <w:lvlText w:val="%4."/>
      <w:lvlJc w:val="left"/>
      <w:pPr>
        <w:ind w:left="2403" w:hanging="440"/>
      </w:pPr>
    </w:lvl>
    <w:lvl w:ilvl="4" w:tentative="0">
      <w:start w:val="1"/>
      <w:numFmt w:val="lowerLetter"/>
      <w:lvlText w:val="%5)"/>
      <w:lvlJc w:val="left"/>
      <w:pPr>
        <w:ind w:left="2843" w:hanging="440"/>
      </w:pPr>
    </w:lvl>
    <w:lvl w:ilvl="5" w:tentative="0">
      <w:start w:val="1"/>
      <w:numFmt w:val="lowerRoman"/>
      <w:lvlText w:val="%6."/>
      <w:lvlJc w:val="right"/>
      <w:pPr>
        <w:ind w:left="3283" w:hanging="440"/>
      </w:pPr>
    </w:lvl>
    <w:lvl w:ilvl="6" w:tentative="0">
      <w:start w:val="1"/>
      <w:numFmt w:val="decimal"/>
      <w:lvlText w:val="%7."/>
      <w:lvlJc w:val="left"/>
      <w:pPr>
        <w:ind w:left="3723" w:hanging="440"/>
      </w:pPr>
    </w:lvl>
    <w:lvl w:ilvl="7" w:tentative="0">
      <w:start w:val="1"/>
      <w:numFmt w:val="lowerLetter"/>
      <w:lvlText w:val="%8)"/>
      <w:lvlJc w:val="left"/>
      <w:pPr>
        <w:ind w:left="4163" w:hanging="440"/>
      </w:pPr>
    </w:lvl>
    <w:lvl w:ilvl="8" w:tentative="0">
      <w:start w:val="1"/>
      <w:numFmt w:val="lowerRoman"/>
      <w:lvlText w:val="%9."/>
      <w:lvlJc w:val="right"/>
      <w:pPr>
        <w:ind w:left="4603"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OWQ4Y2Y1YzVmNGFkNWQ4YTI3MzZjNmJmOTE2ODYifQ=="/>
  </w:docVars>
  <w:rsids>
    <w:rsidRoot w:val="11AF18C8"/>
    <w:rsid w:val="00177570"/>
    <w:rsid w:val="00230E40"/>
    <w:rsid w:val="00250474"/>
    <w:rsid w:val="003C4E13"/>
    <w:rsid w:val="00434384"/>
    <w:rsid w:val="00521599"/>
    <w:rsid w:val="005E3A75"/>
    <w:rsid w:val="00666D39"/>
    <w:rsid w:val="006743E3"/>
    <w:rsid w:val="006A1C41"/>
    <w:rsid w:val="00703E9D"/>
    <w:rsid w:val="007E01DE"/>
    <w:rsid w:val="00A04F38"/>
    <w:rsid w:val="00B93F03"/>
    <w:rsid w:val="00D30090"/>
    <w:rsid w:val="00D32B77"/>
    <w:rsid w:val="00F25356"/>
    <w:rsid w:val="0D4D54AE"/>
    <w:rsid w:val="0D72249E"/>
    <w:rsid w:val="11AF18C8"/>
    <w:rsid w:val="141D2158"/>
    <w:rsid w:val="14A02B65"/>
    <w:rsid w:val="15D711E4"/>
    <w:rsid w:val="1A6A77C7"/>
    <w:rsid w:val="1EEF9D2B"/>
    <w:rsid w:val="1EF567A3"/>
    <w:rsid w:val="1EFED2BC"/>
    <w:rsid w:val="1F6FA78F"/>
    <w:rsid w:val="1F97332B"/>
    <w:rsid w:val="1FFB391B"/>
    <w:rsid w:val="267A2F26"/>
    <w:rsid w:val="297FAC76"/>
    <w:rsid w:val="2DA7DE71"/>
    <w:rsid w:val="2DF97147"/>
    <w:rsid w:val="2F6F1AFF"/>
    <w:rsid w:val="2FAD00FC"/>
    <w:rsid w:val="2FD1CCE0"/>
    <w:rsid w:val="2FFFE3B9"/>
    <w:rsid w:val="33FFB2B4"/>
    <w:rsid w:val="33FFC301"/>
    <w:rsid w:val="3567E435"/>
    <w:rsid w:val="360C16FF"/>
    <w:rsid w:val="37699AAC"/>
    <w:rsid w:val="37F7E421"/>
    <w:rsid w:val="39FF13E5"/>
    <w:rsid w:val="3AF2D530"/>
    <w:rsid w:val="3BBB6E46"/>
    <w:rsid w:val="3C7E7E4E"/>
    <w:rsid w:val="3DEE7C01"/>
    <w:rsid w:val="3EF6348E"/>
    <w:rsid w:val="3EFB61AD"/>
    <w:rsid w:val="3F37CDAB"/>
    <w:rsid w:val="3F7FE9C5"/>
    <w:rsid w:val="3F9FBD48"/>
    <w:rsid w:val="3FAF0AAB"/>
    <w:rsid w:val="3FBF62C6"/>
    <w:rsid w:val="3FDFF999"/>
    <w:rsid w:val="3FFF26B4"/>
    <w:rsid w:val="42D3B604"/>
    <w:rsid w:val="43F76DD6"/>
    <w:rsid w:val="48FF5436"/>
    <w:rsid w:val="4B9FE3C2"/>
    <w:rsid w:val="4BC9F5B5"/>
    <w:rsid w:val="4DEDA4D5"/>
    <w:rsid w:val="4EDA594B"/>
    <w:rsid w:val="4FDFB8AE"/>
    <w:rsid w:val="4FEFE2F2"/>
    <w:rsid w:val="4FFBBC6E"/>
    <w:rsid w:val="506F30FD"/>
    <w:rsid w:val="54FBE57F"/>
    <w:rsid w:val="55BDBFC2"/>
    <w:rsid w:val="567444B5"/>
    <w:rsid w:val="57478A97"/>
    <w:rsid w:val="57AB6C62"/>
    <w:rsid w:val="57D7056B"/>
    <w:rsid w:val="59DFD1AD"/>
    <w:rsid w:val="59FC080A"/>
    <w:rsid w:val="59FDCAFB"/>
    <w:rsid w:val="59FDDC8B"/>
    <w:rsid w:val="5ABF35A0"/>
    <w:rsid w:val="5ABF657F"/>
    <w:rsid w:val="5AF7DF0E"/>
    <w:rsid w:val="5BFFFB06"/>
    <w:rsid w:val="5DEF33E6"/>
    <w:rsid w:val="5DFDAE03"/>
    <w:rsid w:val="5EFF46B3"/>
    <w:rsid w:val="5F4F50E3"/>
    <w:rsid w:val="5F586D45"/>
    <w:rsid w:val="5F6A595A"/>
    <w:rsid w:val="5F7D608F"/>
    <w:rsid w:val="5FAF2704"/>
    <w:rsid w:val="5FCF4F74"/>
    <w:rsid w:val="5FFC97AA"/>
    <w:rsid w:val="5FFE7671"/>
    <w:rsid w:val="640A5F1B"/>
    <w:rsid w:val="645F063B"/>
    <w:rsid w:val="649F2DAA"/>
    <w:rsid w:val="65ECF1BF"/>
    <w:rsid w:val="663FF422"/>
    <w:rsid w:val="6698303C"/>
    <w:rsid w:val="676547E9"/>
    <w:rsid w:val="679E5140"/>
    <w:rsid w:val="67BA5745"/>
    <w:rsid w:val="67E43B26"/>
    <w:rsid w:val="697E7356"/>
    <w:rsid w:val="69FDEC77"/>
    <w:rsid w:val="6B2DDFAE"/>
    <w:rsid w:val="6B887A32"/>
    <w:rsid w:val="6BEF68BF"/>
    <w:rsid w:val="6CB36917"/>
    <w:rsid w:val="6DD37989"/>
    <w:rsid w:val="6DFF5019"/>
    <w:rsid w:val="6FAC3CC5"/>
    <w:rsid w:val="6FFA3357"/>
    <w:rsid w:val="74CBDF4F"/>
    <w:rsid w:val="74DC48C7"/>
    <w:rsid w:val="75B7D147"/>
    <w:rsid w:val="75EF4115"/>
    <w:rsid w:val="75FF6493"/>
    <w:rsid w:val="77181135"/>
    <w:rsid w:val="77AFA716"/>
    <w:rsid w:val="77D0B492"/>
    <w:rsid w:val="77DDA94D"/>
    <w:rsid w:val="77F788A5"/>
    <w:rsid w:val="77FB2453"/>
    <w:rsid w:val="77FF16EB"/>
    <w:rsid w:val="79F145A3"/>
    <w:rsid w:val="79F7DD72"/>
    <w:rsid w:val="7A5F3BC1"/>
    <w:rsid w:val="7A7F5900"/>
    <w:rsid w:val="7AFF3652"/>
    <w:rsid w:val="7BBE7574"/>
    <w:rsid w:val="7BF565BA"/>
    <w:rsid w:val="7DB1BF67"/>
    <w:rsid w:val="7DEF83EB"/>
    <w:rsid w:val="7DFE5BF9"/>
    <w:rsid w:val="7DFFFB21"/>
    <w:rsid w:val="7E2F1AA9"/>
    <w:rsid w:val="7EDFCB2D"/>
    <w:rsid w:val="7F1FD345"/>
    <w:rsid w:val="7F4F628D"/>
    <w:rsid w:val="7F51DC5A"/>
    <w:rsid w:val="7F7D9FD8"/>
    <w:rsid w:val="7F7DB70C"/>
    <w:rsid w:val="7F7F00C0"/>
    <w:rsid w:val="7FAE99D6"/>
    <w:rsid w:val="7FAF0AA5"/>
    <w:rsid w:val="7FAFEE82"/>
    <w:rsid w:val="7FD52939"/>
    <w:rsid w:val="7FD601A3"/>
    <w:rsid w:val="7FE136D8"/>
    <w:rsid w:val="7FE33C58"/>
    <w:rsid w:val="7FEA594E"/>
    <w:rsid w:val="7FEEB283"/>
    <w:rsid w:val="7FF3C5F5"/>
    <w:rsid w:val="7FF687BD"/>
    <w:rsid w:val="7FFB7FD5"/>
    <w:rsid w:val="7FFF5995"/>
    <w:rsid w:val="7FFF5F2A"/>
    <w:rsid w:val="8CE3C832"/>
    <w:rsid w:val="937FF006"/>
    <w:rsid w:val="9BED0BAC"/>
    <w:rsid w:val="9BFA0E74"/>
    <w:rsid w:val="9BFFF7EF"/>
    <w:rsid w:val="9EF5BCA0"/>
    <w:rsid w:val="9F7FF7AB"/>
    <w:rsid w:val="9F9F6465"/>
    <w:rsid w:val="A6EC7140"/>
    <w:rsid w:val="B06F583F"/>
    <w:rsid w:val="B1FF84B5"/>
    <w:rsid w:val="B4FD23C0"/>
    <w:rsid w:val="B7531CC1"/>
    <w:rsid w:val="B7BDA605"/>
    <w:rsid w:val="B7E713BB"/>
    <w:rsid w:val="B7FD55C5"/>
    <w:rsid w:val="B9D665D3"/>
    <w:rsid w:val="BA1AFE2A"/>
    <w:rsid w:val="BADFBF21"/>
    <w:rsid w:val="BB9F4788"/>
    <w:rsid w:val="BBB72A76"/>
    <w:rsid w:val="BBF6167E"/>
    <w:rsid w:val="BC773C7A"/>
    <w:rsid w:val="BCCA878B"/>
    <w:rsid w:val="BD17DCC4"/>
    <w:rsid w:val="BE1A4601"/>
    <w:rsid w:val="BEFB5364"/>
    <w:rsid w:val="BF3F4EDD"/>
    <w:rsid w:val="BF9CA563"/>
    <w:rsid w:val="BFA4314D"/>
    <w:rsid w:val="BFCDB3D4"/>
    <w:rsid w:val="BFCE6BBB"/>
    <w:rsid w:val="BFCFD74B"/>
    <w:rsid w:val="BFD9F1B6"/>
    <w:rsid w:val="BFFB7E30"/>
    <w:rsid w:val="BFFF1E60"/>
    <w:rsid w:val="BFFF632F"/>
    <w:rsid w:val="BFFF6FDD"/>
    <w:rsid w:val="CBFFD682"/>
    <w:rsid w:val="CE7E936C"/>
    <w:rsid w:val="CFEE1893"/>
    <w:rsid w:val="CFEF45BC"/>
    <w:rsid w:val="D169A40B"/>
    <w:rsid w:val="D3F79759"/>
    <w:rsid w:val="D4FA0C26"/>
    <w:rsid w:val="D749D24F"/>
    <w:rsid w:val="D7B9167B"/>
    <w:rsid w:val="DAEFFD6D"/>
    <w:rsid w:val="DB7F579F"/>
    <w:rsid w:val="DBE9D810"/>
    <w:rsid w:val="DBF81840"/>
    <w:rsid w:val="DBFFB4A6"/>
    <w:rsid w:val="DDE6AEB6"/>
    <w:rsid w:val="DDE7507C"/>
    <w:rsid w:val="DDF61B0D"/>
    <w:rsid w:val="DE2FBA7D"/>
    <w:rsid w:val="DE7FF687"/>
    <w:rsid w:val="DEDFFAA1"/>
    <w:rsid w:val="DF7F1EB8"/>
    <w:rsid w:val="DF7FDB36"/>
    <w:rsid w:val="DF9EBCDA"/>
    <w:rsid w:val="DFA799CC"/>
    <w:rsid w:val="DFBF65D5"/>
    <w:rsid w:val="DFDA111C"/>
    <w:rsid w:val="DFFEBADC"/>
    <w:rsid w:val="DFFFF1D6"/>
    <w:rsid w:val="EB739338"/>
    <w:rsid w:val="EBCB7DBE"/>
    <w:rsid w:val="ED5FDAB5"/>
    <w:rsid w:val="EDD9EA72"/>
    <w:rsid w:val="EEB55AE4"/>
    <w:rsid w:val="EEB7ADF7"/>
    <w:rsid w:val="EEFF5DC1"/>
    <w:rsid w:val="EF6517DA"/>
    <w:rsid w:val="EF779708"/>
    <w:rsid w:val="EF7B8356"/>
    <w:rsid w:val="F1BF809A"/>
    <w:rsid w:val="F3DF1E36"/>
    <w:rsid w:val="F3FB2AF5"/>
    <w:rsid w:val="F3FD79C6"/>
    <w:rsid w:val="F57FE209"/>
    <w:rsid w:val="F6FFA011"/>
    <w:rsid w:val="F77EF1DF"/>
    <w:rsid w:val="F7BF29DD"/>
    <w:rsid w:val="F7C6E28F"/>
    <w:rsid w:val="F7DF3BA0"/>
    <w:rsid w:val="F7F38E38"/>
    <w:rsid w:val="F83DEEAF"/>
    <w:rsid w:val="F8B3BE0D"/>
    <w:rsid w:val="F8BD1FB4"/>
    <w:rsid w:val="F8FF8C9A"/>
    <w:rsid w:val="F9D74DC4"/>
    <w:rsid w:val="FADFE440"/>
    <w:rsid w:val="FAF6D81D"/>
    <w:rsid w:val="FB763391"/>
    <w:rsid w:val="FB9E5F7D"/>
    <w:rsid w:val="FBBB334B"/>
    <w:rsid w:val="FBEFE45A"/>
    <w:rsid w:val="FBF3E1DF"/>
    <w:rsid w:val="FCEAC882"/>
    <w:rsid w:val="FCFB72AD"/>
    <w:rsid w:val="FD7D6D59"/>
    <w:rsid w:val="FDA37375"/>
    <w:rsid w:val="FDB5CE77"/>
    <w:rsid w:val="FDF36F88"/>
    <w:rsid w:val="FED7CB58"/>
    <w:rsid w:val="FEEF09AD"/>
    <w:rsid w:val="FEF2E319"/>
    <w:rsid w:val="FEF65CBA"/>
    <w:rsid w:val="FEF796C4"/>
    <w:rsid w:val="FEFD2F8A"/>
    <w:rsid w:val="FF5F1BC6"/>
    <w:rsid w:val="FF740761"/>
    <w:rsid w:val="FF7F4FCA"/>
    <w:rsid w:val="FF976806"/>
    <w:rsid w:val="FFB6A4CE"/>
    <w:rsid w:val="FFBFB1B6"/>
    <w:rsid w:val="FFC6A744"/>
    <w:rsid w:val="FFDA0F91"/>
    <w:rsid w:val="FFEFBE9D"/>
    <w:rsid w:val="FFF77BB1"/>
    <w:rsid w:val="FFF7A4C2"/>
    <w:rsid w:val="FFFB156F"/>
    <w:rsid w:val="FFFF30E5"/>
    <w:rsid w:val="FFFF6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autoRedefine/>
    <w:qFormat/>
    <w:uiPriority w:val="99"/>
    <w:pPr>
      <w:spacing w:beforeAutospacing="1" w:afterAutospacing="1"/>
      <w:jc w:val="left"/>
    </w:pPr>
    <w:rPr>
      <w:rFonts w:cs="Times New Roman"/>
      <w:kern w:val="0"/>
      <w:sz w:val="24"/>
    </w:rPr>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b="1"/>
              <a:t>历年政府信息公开数量</a:t>
            </a:r>
            <a:endParaRPr lang="zh-CN" altLang="en-US" b="1"/>
          </a:p>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b="1"/>
              <a:t>对比图</a:t>
            </a:r>
            <a:endParaRPr lang="zh-CN" altLang="en-US" b="1"/>
          </a:p>
        </c:rich>
      </c:tx>
      <c:layout>
        <c:manualLayout>
          <c:xMode val="edge"/>
          <c:yMode val="edge"/>
          <c:x val="0.330778344802488"/>
          <c:y val="0.0274999728148912"/>
        </c:manualLayout>
      </c:layout>
      <c:overlay val="0"/>
      <c:spPr>
        <a:noFill/>
        <a:ln>
          <a:noFill/>
        </a:ln>
        <a:effectLst/>
      </c:spPr>
    </c:title>
    <c:autoTitleDeleted val="0"/>
    <c:plotArea>
      <c:layout>
        <c:manualLayout>
          <c:layoutTarget val="inner"/>
          <c:xMode val="edge"/>
          <c:yMode val="edge"/>
          <c:x val="0.0757134583331491"/>
          <c:y val="0.185645295949177"/>
          <c:w val="0.901827249134566"/>
          <c:h val="0.685519761157675"/>
        </c:manualLayout>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dLbls>
            <c:delete val="1"/>
          </c:dLbls>
          <c:cat>
            <c:numRef>
              <c:f>Sheet1!$A$2:$A$4</c:f>
              <c:numCache>
                <c:formatCode>General</c:formatCode>
                <c:ptCount val="3"/>
                <c:pt idx="0">
                  <c:v>2021</c:v>
                </c:pt>
                <c:pt idx="1">
                  <c:v>2022</c:v>
                </c:pt>
                <c:pt idx="2">
                  <c:v>2023</c:v>
                </c:pt>
              </c:numCache>
            </c:numRef>
          </c:cat>
          <c:val>
            <c:numRef>
              <c:f>Sheet1!$B$2:$B$4</c:f>
              <c:numCache>
                <c:formatCode>General</c:formatCode>
                <c:ptCount val="3"/>
                <c:pt idx="0">
                  <c:v>25</c:v>
                </c:pt>
                <c:pt idx="1">
                  <c:v>13</c:v>
                </c:pt>
                <c:pt idx="2">
                  <c:v>21</c:v>
                </c:pt>
              </c:numCache>
            </c:numRef>
          </c:val>
        </c:ser>
        <c:dLbls>
          <c:showLegendKey val="0"/>
          <c:showVal val="0"/>
          <c:showCatName val="0"/>
          <c:showSerName val="0"/>
          <c:showPercent val="0"/>
          <c:showBubbleSize val="0"/>
        </c:dLbls>
        <c:gapWidth val="219"/>
        <c:overlap val="-27"/>
        <c:axId val="972493871"/>
        <c:axId val="794414765"/>
      </c:barChart>
      <c:catAx>
        <c:axId val="972493871"/>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94414765"/>
        <c:crosses val="autoZero"/>
        <c:auto val="1"/>
        <c:lblAlgn val="ctr"/>
        <c:lblOffset val="100"/>
        <c:noMultiLvlLbl val="0"/>
      </c:catAx>
      <c:valAx>
        <c:axId val="7944147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7249387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503</Words>
  <Characters>2868</Characters>
  <Lines>23</Lines>
  <Paragraphs>6</Paragraphs>
  <TotalTime>225</TotalTime>
  <ScaleCrop>false</ScaleCrop>
  <LinksUpToDate>false</LinksUpToDate>
  <CharactersWithSpaces>3365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2023-01-21T07:45:00Z</dcterms:created>
  <dc:creator>诗人与熊</dc:creator>
  <cp:lastModifiedBy>海英.2929</cp:lastModifiedBy>
  <cp:lastPrinted>2024-01-04T10:34:00Z</cp:lastPrinted>
  <dcterms:modified xsi:type="dcterms:W3CDTF">2024-01-22T07:09:54Z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AA997AA0745C4772A4196D817533ED9B</vt:lpwstr>
  </property>
</Properties>
</file>