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14:textFill>
            <w14:solidFill>
              <w14:schemeClr w14:val="tx1"/>
            </w14:solidFill>
          </w14:textFill>
        </w:rPr>
        <w:t>文稿解读】张店区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:lang w:val="en-US"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14:textFill>
            <w14:solidFill>
              <w14:schemeClr w14:val="tx1"/>
            </w14:solidFill>
          </w14:textFill>
        </w:rPr>
        <w:t>局2023年政府信息公开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方正小标宋简体"/>
          <w:color w:val="000000" w:themeColor="text1"/>
          <w:spacing w:val="-11"/>
          <w:sz w:val="44"/>
          <w:szCs w:val="52"/>
          <w14:textFill>
            <w14:solidFill>
              <w14:schemeClr w14:val="tx1"/>
            </w14:solidFill>
          </w14:textFill>
        </w:rPr>
        <w:t>工作年度报告文稿解读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一、编制背景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根据中央、省、市、区政府信息公开工作统一部署和要求，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张店区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局根据2023年度政务公开工作实际，编制《张店区统计局2023年政府信息公开工作年度报告》。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二、编制依据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根据《中华人民共和国政府信息公开条例》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国务院令第711号，以下简称《条例》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和《国务院办公厅政府信息与政务公开办公室关于印发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〈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中华人民共和国政府信息公开工作年度报告格式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〉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的通知》（国办公开办函〔2021〕30号）要求。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三、编制目的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为保障公民、法人和其他组织依法获取政府信息，提高政府工作的透明度，促进依法行政，充分发挥政府信息对人民群众生产、生活和经济社会活动的服务作用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不断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提高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政府信息公开的质量和实效。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Times New Roman" w:hAnsi="Times New Roman" w:eastAsia="黑体" w:cs="黑体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本报告包括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六大部分，分别为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14:textFill>
            <w14:solidFill>
              <w14:schemeClr w14:val="tx1"/>
            </w14:solidFill>
          </w14:textFill>
        </w:rPr>
        <w:t>总体情况、主动公开政府信息情况、收到和处理政府信息公开申请情况、政府信息公开行政复议和行政诉讼情况、存在的主要问题及改进情况、其他需要报告的事项等六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项内容</w:t>
      </w: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总体情况，包含主动公开、依申请公开、政府信息管理、政府信息公开平台建设、监督保障五方面具体情况。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2、主动公开政府信息情况，按照上级规范要求公开规章、行政规范性文件、行政许可、行政处罚、行政强制、行政事业性收费等相关数据。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3、收到和处理政府信息公开申请情况，按照上级规范要求公开本年新收政府信息公开申请数量、上年结转政府信息公开申请数量、本年度办理结果、结转下年度继续办理等相关数据。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4、政府信息公开行政复议、行政诉讼情况，按照上级规范要求公开行政复议、行政诉讼等相关数据。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5、存在的主要问题及改进情况，本部分公开了我局在2023年度对于政务公开存在问题和不足以及采取的措施，力争2024年度政务公开工作提质增效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  <w:t>6、其他需要报告的事项，包含《政府信息公开信息处理费管理办法》、本年度人大代表建议和政协提案办理情况、在政务公开制度、内容、形式和平台建设方面的创新实践情况及《2023年张店区政务公开工作方案》落实情况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Times New Roman" w:hAnsi="Times New Roman" w:eastAsia="仿宋_GB2312" w:cs="仿宋_GB2312"/>
          <w:color w:val="000000" w:themeColor="text1"/>
          <w:spacing w:val="0"/>
          <w:sz w:val="32"/>
          <w:szCs w:val="4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pacing w:val="0"/>
          <w:kern w:val="2"/>
          <w:sz w:val="32"/>
          <w:szCs w:val="40"/>
          <w:lang w:val="en-US" w:eastAsia="zh-CN" w:bidi="ar-SA"/>
          <w14:textFill>
            <w14:solidFill>
              <w14:schemeClr w14:val="tx1"/>
            </w14:solidFill>
          </w14:textFill>
        </w:rPr>
        <w:t>联系电话：0533-2869954</w:t>
      </w:r>
    </w:p>
    <w:sectPr>
      <w:footerReference r:id="rId3" w:type="default"/>
      <w:pgSz w:w="11906" w:h="16838"/>
      <w:pgMar w:top="2098" w:right="1531" w:bottom="2098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956BC3"/>
    <w:multiLevelType w:val="singleLevel"/>
    <w:tmpl w:val="9B956B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BlODRkODgwZjYwYzQ0ZjFjMWE5MTNkMmIyY2RiYjcifQ=="/>
  </w:docVars>
  <w:rsids>
    <w:rsidRoot w:val="01FA552D"/>
    <w:rsid w:val="01FA552D"/>
    <w:rsid w:val="4A7F7083"/>
    <w:rsid w:val="69523239"/>
    <w:rsid w:val="70B8767B"/>
    <w:rsid w:val="78BC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395</Words>
  <Characters>421</Characters>
  <Lines>0</Lines>
  <Paragraphs>0</Paragraphs>
  <TotalTime>8</TotalTime>
  <ScaleCrop>false</ScaleCrop>
  <LinksUpToDate>false</LinksUpToDate>
  <CharactersWithSpaces>421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2024-01-19T04:55:00Z</dcterms:created>
  <dc:creator>mfgnx67</dc:creator>
  <cp:lastModifiedBy>mfgnx67</cp:lastModifiedBy>
  <dcterms:modified xsi:type="dcterms:W3CDTF">2024-01-19T10:40:32Z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B7E9EE8E98E443DC874BD82EC1E5B4D2_11</vt:lpwstr>
  </property>
</Properties>
</file>