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spacing w:val="0"/>
          <w:kern w:val="2"/>
          <w:sz w:val="44"/>
          <w:szCs w:val="44"/>
          <w:shd w:val="clear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spacing w:val="0"/>
          <w:kern w:val="2"/>
          <w:sz w:val="44"/>
          <w:szCs w:val="44"/>
          <w:shd w:val="clear" w:fill="FFFFFF"/>
          <w:lang w:val="en-US" w:eastAsia="zh-CN" w:bidi="ar"/>
        </w:rPr>
        <w:t>淄博市张店区消防救援大队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spacing w:val="0"/>
          <w:kern w:val="2"/>
          <w:sz w:val="44"/>
          <w:szCs w:val="44"/>
          <w:shd w:val="clear" w:fill="FFFFFF"/>
          <w:lang w:val="en-US" w:eastAsia="zh-CN" w:bidi="ar"/>
        </w:rPr>
        <w:t>2025年度</w:t>
      </w: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</w:rPr>
        <w:t>政府信息公开工作年度报告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shd w:val="clear" w:fill="FFFFFF"/>
          <w:lang w:val="en-US" w:eastAsia="zh-CN" w:bidi="ar"/>
        </w:rPr>
      </w:pPr>
    </w:p>
    <w:p>
      <w:pPr>
        <w:pStyle w:val="2"/>
        <w:keepNext w:val="0"/>
        <w:keepLines w:val="0"/>
        <w:widowControl/>
        <w:suppressLineNumbers w:val="0"/>
        <w:spacing w:line="26" w:lineRule="atLeast"/>
        <w:ind w:left="0" w:firstLine="640"/>
        <w:jc w:val="both"/>
      </w:pPr>
      <w:r>
        <w:rPr>
          <w:rFonts w:ascii="微软雅黑" w:hAnsi="微软雅黑" w:eastAsia="微软雅黑" w:cs="微软雅黑"/>
          <w:sz w:val="24"/>
          <w:szCs w:val="24"/>
        </w:rPr>
        <w:t>本年度报告中所列数据的统计期限自2025年1月1日起，至2025年12月31日止。如对本报告内容有疑问，请与淄博市张店区消防救援大队联系（地址：张店区南京路与王舍路交叉口东150米；邮编：255000；电话：0533-2270329；邮箱：zdxf119@163.com）。</w:t>
      </w:r>
    </w:p>
    <w:p>
      <w:pPr>
        <w:pStyle w:val="2"/>
        <w:keepNext w:val="0"/>
        <w:keepLines w:val="0"/>
        <w:widowControl/>
        <w:suppressLineNumbers w:val="0"/>
        <w:spacing w:line="26" w:lineRule="atLeast"/>
        <w:ind w:left="0" w:firstLine="640"/>
      </w:pPr>
      <w:r>
        <w:rPr>
          <w:rStyle w:val="5"/>
          <w:rFonts w:hint="default" w:ascii="微软雅黑" w:hAnsi="微软雅黑" w:eastAsia="微软雅黑" w:cs="微软雅黑"/>
          <w:caps w:val="0"/>
          <w:spacing w:val="0"/>
          <w:sz w:val="24"/>
          <w:szCs w:val="24"/>
          <w:shd w:val="clear" w:fill="FFFFFF"/>
        </w:rPr>
        <w:t>一、总体情况</w:t>
      </w:r>
    </w:p>
    <w:p>
      <w:pPr>
        <w:pStyle w:val="2"/>
        <w:keepNext w:val="0"/>
        <w:keepLines w:val="0"/>
        <w:widowControl/>
        <w:suppressLineNumbers w:val="0"/>
        <w:spacing w:line="26" w:lineRule="atLeast"/>
        <w:ind w:left="0" w:firstLine="640"/>
      </w:pPr>
      <w:r>
        <w:rPr>
          <w:rFonts w:hint="default" w:ascii="微软雅黑" w:hAnsi="微软雅黑" w:eastAsia="微软雅黑" w:cs="微软雅黑"/>
          <w:caps w:val="0"/>
          <w:spacing w:val="0"/>
          <w:sz w:val="24"/>
          <w:szCs w:val="24"/>
          <w:shd w:val="clear" w:fill="FFFFFF"/>
        </w:rPr>
        <w:t>2025年，张店区消防救援大队深入贯彻落实《2025年山东省政务公开工作要点》及淄博市实施方案要求，坚持“以公开为常态、不公开为例外”原则，聚焦消防主责主业，将政务公开与消防安全治理、便民服务提质、执法规范优化深度融合，持续提升公开标准化、规范化、信息化水平，切实保障人民群众知情权、参与权、表达权和监督权。</w:t>
      </w:r>
    </w:p>
    <w:p>
      <w:pPr>
        <w:pStyle w:val="2"/>
        <w:keepNext w:val="0"/>
        <w:keepLines w:val="0"/>
        <w:widowControl/>
        <w:suppressLineNumbers w:val="0"/>
        <w:spacing w:line="26" w:lineRule="atLeast"/>
        <w:ind w:left="0" w:firstLine="640"/>
      </w:pPr>
      <w:r>
        <w:rPr>
          <w:rFonts w:hint="default" w:ascii="微软雅黑" w:hAnsi="微软雅黑" w:eastAsia="微软雅黑" w:cs="微软雅黑"/>
          <w:sz w:val="24"/>
          <w:szCs w:val="24"/>
          <w:shd w:val="clear" w:fill="FFFFFF"/>
        </w:rPr>
        <w:t>（一）主动公开方面。</w:t>
      </w:r>
      <w:r>
        <w:rPr>
          <w:rFonts w:hint="default" w:ascii="微软雅黑" w:hAnsi="微软雅黑" w:eastAsia="微软雅黑" w:cs="微软雅黑"/>
          <w:sz w:val="24"/>
          <w:szCs w:val="24"/>
        </w:rPr>
        <w:t>2025年度，张店区消防救援大队依托张店区人民政府网站信息公开平台，主动公开各类信息53件，含法定主动公开文件39件、会议议定事项解读1件，其他公开事项13件。组织大队全体人员召开政务公开培训会1次，围绕公开规范、审核流程、平台操作等重点内容开展专题讲解，切实提升工作人员政务公开业务能力和实操水平，进一步夯实消防政务公开工作基础，确保公开信息精准规范、发布及时高效。</w:t>
      </w:r>
    </w:p>
    <w:p>
      <w:pPr>
        <w:pStyle w:val="2"/>
        <w:keepNext w:val="0"/>
        <w:keepLines w:val="0"/>
        <w:widowControl/>
        <w:suppressLineNumbers w:val="0"/>
        <w:spacing w:line="26" w:lineRule="atLeast"/>
        <w:ind w:left="0" w:firstLine="640"/>
      </w:pPr>
      <w:r>
        <w:rPr>
          <w:rFonts w:hint="default" w:ascii="微软雅黑" w:hAnsi="微软雅黑" w:eastAsia="微软雅黑" w:cs="微软雅黑"/>
          <w:sz w:val="24"/>
          <w:szCs w:val="24"/>
          <w:shd w:val="clear" w:fill="FFFFFF"/>
        </w:rPr>
        <w:t>（二）依申请公开工作方面。</w:t>
      </w:r>
      <w:r>
        <w:rPr>
          <w:rFonts w:hint="default" w:ascii="微软雅黑" w:hAnsi="微软雅黑" w:eastAsia="微软雅黑" w:cs="微软雅黑"/>
          <w:sz w:val="24"/>
          <w:szCs w:val="24"/>
        </w:rPr>
        <w:t>2025年，大队收到依申请公开政府信息4件，较去年相比数量减少5件，均已办结答复。一是申请公开消防预案，消防演练存证和消防控制室值班等信息、要求核实消控室值班人员资格证书、消防水泵控制等方面文件信息，二是申请公开申请公开房屋系违法建筑的所有程序文件资料，三是申请公开消防中控室管理制度，岗位责任制度；消防中控室值班人员负责人和消防中控室值班人员的基本情况，四是申请公开消防控制室工作人员配备情况，持证上岗情况，岗位工作制及轮班执勤情况。</w:t>
      </w:r>
    </w:p>
    <w:p>
      <w:pPr>
        <w:pStyle w:val="2"/>
        <w:keepNext w:val="0"/>
        <w:keepLines w:val="0"/>
        <w:widowControl/>
        <w:suppressLineNumbers w:val="0"/>
        <w:spacing w:line="26" w:lineRule="atLeast"/>
        <w:ind w:left="0" w:firstLine="640"/>
      </w:pPr>
      <w:r>
        <w:rPr>
          <w:rFonts w:hint="default" w:ascii="微软雅黑" w:hAnsi="微软雅黑" w:eastAsia="微软雅黑" w:cs="微软雅黑"/>
          <w:sz w:val="24"/>
          <w:szCs w:val="24"/>
          <w:shd w:val="clear" w:fill="FFFFFF"/>
        </w:rPr>
        <w:t>（三）政府信息管理持续强化。</w:t>
      </w:r>
      <w:r>
        <w:rPr>
          <w:rFonts w:hint="default" w:ascii="微软雅黑" w:hAnsi="微软雅黑" w:eastAsia="微软雅黑" w:cs="微软雅黑"/>
          <w:caps w:val="0"/>
          <w:spacing w:val="0"/>
          <w:sz w:val="24"/>
          <w:szCs w:val="24"/>
          <w:shd w:val="clear" w:fill="FFFFFF"/>
        </w:rPr>
        <w:t>完善信息发布审核机制，细化“起草－审核－复核－发布”四级审核流程，明确各部门信息报送职责，确保公开信息真实准确、合规合法。建立已公开信息动态管理台账，对涉及政策调整、工作更新的信息及时修订完善，形成“发布－管理－更新－清理”闭环体系。同时规范信息归档管理，将各类公开信息按主题、类型分类存储，方便公众查询和后续追溯。</w:t>
      </w:r>
    </w:p>
    <w:p>
      <w:pPr>
        <w:pStyle w:val="2"/>
        <w:keepNext w:val="0"/>
        <w:keepLines w:val="0"/>
        <w:widowControl/>
        <w:suppressLineNumbers w:val="0"/>
        <w:spacing w:line="26" w:lineRule="atLeast"/>
        <w:ind w:left="0" w:firstLine="640"/>
      </w:pPr>
      <w:r>
        <w:rPr>
          <w:rFonts w:hint="default" w:ascii="微软雅黑" w:hAnsi="微软雅黑" w:eastAsia="微软雅黑" w:cs="微软雅黑"/>
          <w:sz w:val="24"/>
          <w:szCs w:val="24"/>
          <w:shd w:val="clear" w:fill="FFFFFF"/>
        </w:rPr>
        <w:t>（四）公开平台优化升级。</w:t>
      </w:r>
      <w:r>
        <w:rPr>
          <w:rFonts w:hint="default" w:ascii="微软雅黑" w:hAnsi="微软雅黑" w:eastAsia="微软雅黑" w:cs="微软雅黑"/>
          <w:caps w:val="0"/>
          <w:spacing w:val="0"/>
          <w:sz w:val="24"/>
          <w:szCs w:val="24"/>
          <w:shd w:val="clear" w:fill="FFFFFF"/>
        </w:rPr>
        <w:t>强化政务新媒体矩阵建设，运营的消防抖音账号全年发布消防安全知识、工作动态等内容200余条，累计阅读量超50万人次。</w:t>
      </w:r>
    </w:p>
    <w:p>
      <w:pPr>
        <w:pStyle w:val="2"/>
        <w:keepNext w:val="0"/>
        <w:keepLines w:val="0"/>
        <w:widowControl/>
        <w:suppressLineNumbers w:val="0"/>
        <w:spacing w:line="26" w:lineRule="atLeast"/>
        <w:ind w:left="0" w:firstLine="640"/>
      </w:pPr>
      <w:r>
        <w:rPr>
          <w:rFonts w:hint="default" w:ascii="微软雅黑" w:hAnsi="微软雅黑" w:eastAsia="微软雅黑" w:cs="微软雅黑"/>
          <w:sz w:val="24"/>
          <w:szCs w:val="24"/>
          <w:shd w:val="clear" w:fill="FFFFFF"/>
        </w:rPr>
        <w:t>（五）监督保障坚实有力。</w:t>
      </w:r>
      <w:r>
        <w:rPr>
          <w:rFonts w:hint="default" w:ascii="微软雅黑" w:hAnsi="微软雅黑" w:eastAsia="微软雅黑" w:cs="微软雅黑"/>
          <w:caps w:val="0"/>
          <w:spacing w:val="0"/>
          <w:sz w:val="24"/>
          <w:szCs w:val="24"/>
          <w:shd w:val="clear" w:fill="FFFFFF"/>
        </w:rPr>
        <w:t>调整完善政务公开工作领导小组，由大队领导任组长，明确分管领导和具体责任科室，形成“一级抓一级、层层抓落实”的工作格局。将政务公开工作纳入大队年度绩效考核体系，开展专题培训，覆盖全体工作人员，提升政务公开业务能力。严格执行保密审查制度，全年未发生因信息公开引发的失泄密事件，未出现政务公开相关投诉举报情况。</w:t>
      </w:r>
    </w:p>
    <w:p>
      <w:pPr>
        <w:pStyle w:val="2"/>
        <w:keepNext w:val="0"/>
        <w:keepLines w:val="0"/>
        <w:widowControl/>
        <w:suppressLineNumbers w:val="0"/>
        <w:spacing w:line="26" w:lineRule="atLeast"/>
        <w:ind w:left="0" w:firstLine="798"/>
        <w:jc w:val="both"/>
      </w:pPr>
      <w:r>
        <w:rPr>
          <w:rStyle w:val="5"/>
          <w:rFonts w:hint="default" w:ascii="微软雅黑" w:hAnsi="微软雅黑" w:eastAsia="微软雅黑" w:cs="微软雅黑"/>
          <w:spacing w:val="27"/>
          <w:sz w:val="24"/>
          <w:szCs w:val="24"/>
        </w:rPr>
        <w:t>二、主动公开政府信息情况</w:t>
      </w:r>
    </w:p>
    <w:tbl>
      <w:tblPr>
        <w:tblW w:w="0" w:type="auto"/>
        <w:tblInd w:w="118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98"/>
        <w:gridCol w:w="1556"/>
        <w:gridCol w:w="1672"/>
        <w:gridCol w:w="1872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880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15" w:beforeAutospacing="0"/>
              <w:ind w:left="0" w:firstLine="3440"/>
              <w:jc w:val="left"/>
            </w:pPr>
            <w:r>
              <w:rPr>
                <w:rFonts w:hint="eastAsia" w:ascii="宋体" w:hAnsi="宋体" w:eastAsia="宋体" w:cs="宋体"/>
                <w:spacing w:val="1"/>
                <w:sz w:val="20"/>
                <w:szCs w:val="20"/>
                <w:bdr w:val="none" w:color="auto" w:sz="0" w:space="0"/>
              </w:rPr>
              <w:t>第二十条</w:t>
            </w:r>
            <w:r>
              <w:rPr>
                <w:rFonts w:hint="eastAsia" w:ascii="宋体" w:hAnsi="宋体" w:eastAsia="宋体" w:cs="宋体"/>
                <w:spacing w:val="3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spacing w:val="1"/>
                <w:sz w:val="20"/>
                <w:szCs w:val="20"/>
                <w:bdr w:val="none" w:color="auto" w:sz="0" w:space="0"/>
              </w:rPr>
              <w:t>第（一）项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329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06" w:beforeAutospacing="0"/>
              <w:ind w:left="0" w:firstLine="1199"/>
              <w:jc w:val="left"/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bdr w:val="none" w:color="auto" w:sz="0" w:space="0"/>
              </w:rPr>
              <w:t>信息内容</w:t>
            </w:r>
          </w:p>
        </w:tc>
        <w:tc>
          <w:tcPr>
            <w:tcW w:w="168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05" w:beforeAutospacing="0"/>
              <w:ind w:left="0" w:firstLine="227"/>
              <w:jc w:val="left"/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bdr w:val="none" w:color="auto" w:sz="0" w:space="0"/>
              </w:rPr>
              <w:t>本年制发件数</w:t>
            </w:r>
          </w:p>
        </w:tc>
        <w:tc>
          <w:tcPr>
            <w:tcW w:w="180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05" w:beforeAutospacing="0"/>
              <w:ind w:left="0" w:firstLine="291"/>
              <w:jc w:val="left"/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bdr w:val="none" w:color="auto" w:sz="0" w:space="0"/>
              </w:rPr>
              <w:t>本年废止件数</w:t>
            </w:r>
          </w:p>
        </w:tc>
        <w:tc>
          <w:tcPr>
            <w:tcW w:w="201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06" w:beforeAutospacing="0"/>
              <w:ind w:left="0" w:firstLine="395"/>
              <w:jc w:val="left"/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bdr w:val="none" w:color="auto" w:sz="0" w:space="0"/>
              </w:rPr>
              <w:t>现行有效件数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4" w:hRule="atLeast"/>
        </w:trPr>
        <w:tc>
          <w:tcPr>
            <w:tcW w:w="329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05" w:beforeAutospacing="0"/>
              <w:ind w:left="0" w:firstLine="79"/>
            </w:pPr>
            <w:r>
              <w:rPr>
                <w:rFonts w:hint="eastAsia" w:ascii="宋体" w:hAnsi="宋体" w:eastAsia="宋体" w:cs="宋体"/>
                <w:spacing w:val="7"/>
                <w:sz w:val="20"/>
                <w:szCs w:val="20"/>
                <w:bdr w:val="none" w:color="auto" w:sz="0" w:space="0"/>
              </w:rPr>
              <w:t>规章</w:t>
            </w:r>
          </w:p>
        </w:tc>
        <w:tc>
          <w:tcPr>
            <w:tcW w:w="16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4" w:hRule="atLeast"/>
        </w:trPr>
        <w:tc>
          <w:tcPr>
            <w:tcW w:w="329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07" w:beforeAutospacing="0"/>
              <w:ind w:left="0" w:firstLine="79"/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bdr w:val="none" w:color="auto" w:sz="0" w:space="0"/>
              </w:rPr>
              <w:t>行政规范性文件</w:t>
            </w:r>
          </w:p>
        </w:tc>
        <w:tc>
          <w:tcPr>
            <w:tcW w:w="16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sz w:val="21"/>
                <w:szCs w:val="21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5" w:hRule="atLeast"/>
        </w:trPr>
        <w:tc>
          <w:tcPr>
            <w:tcW w:w="8800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08" w:beforeAutospacing="0"/>
              <w:ind w:left="0" w:firstLine="3440"/>
            </w:pPr>
            <w:r>
              <w:rPr>
                <w:rFonts w:hint="eastAsia" w:ascii="宋体" w:hAnsi="宋体" w:eastAsia="宋体" w:cs="宋体"/>
                <w:spacing w:val="1"/>
                <w:sz w:val="20"/>
                <w:szCs w:val="20"/>
                <w:bdr w:val="none" w:color="auto" w:sz="0" w:space="0"/>
              </w:rPr>
              <w:t>第二十条</w:t>
            </w:r>
            <w:r>
              <w:rPr>
                <w:rFonts w:hint="eastAsia" w:ascii="宋体" w:hAnsi="宋体" w:eastAsia="宋体" w:cs="宋体"/>
                <w:spacing w:val="3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spacing w:val="1"/>
                <w:sz w:val="20"/>
                <w:szCs w:val="20"/>
                <w:bdr w:val="none" w:color="auto" w:sz="0" w:space="0"/>
              </w:rPr>
              <w:t>第（五）项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329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08" w:beforeAutospacing="0"/>
              <w:ind w:left="0" w:firstLine="1209"/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bdr w:val="none" w:color="auto" w:sz="0" w:space="0"/>
              </w:rPr>
              <w:t>信息内容</w:t>
            </w:r>
          </w:p>
        </w:tc>
        <w:tc>
          <w:tcPr>
            <w:tcW w:w="5508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07" w:beforeAutospacing="0"/>
              <w:ind w:left="0" w:firstLine="1937"/>
            </w:pPr>
            <w:r>
              <w:rPr>
                <w:rFonts w:hint="eastAsia" w:ascii="宋体" w:hAnsi="宋体" w:eastAsia="宋体" w:cs="宋体"/>
                <w:spacing w:val="-1"/>
                <w:sz w:val="20"/>
                <w:szCs w:val="20"/>
                <w:bdr w:val="none" w:color="auto" w:sz="0" w:space="0"/>
              </w:rPr>
              <w:t>本年处理决定数量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329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08" w:beforeAutospacing="0"/>
              <w:ind w:left="0" w:firstLine="79"/>
            </w:pPr>
            <w:r>
              <w:rPr>
                <w:rFonts w:hint="eastAsia" w:ascii="宋体" w:hAnsi="宋体" w:eastAsia="宋体" w:cs="宋体"/>
                <w:spacing w:val="-3"/>
                <w:sz w:val="20"/>
                <w:szCs w:val="20"/>
                <w:bdr w:val="none" w:color="auto" w:sz="0" w:space="0"/>
              </w:rPr>
              <w:t>行政许可</w:t>
            </w:r>
          </w:p>
        </w:tc>
        <w:tc>
          <w:tcPr>
            <w:tcW w:w="550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sz w:val="21"/>
                <w:szCs w:val="21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4" w:hRule="atLeast"/>
        </w:trPr>
        <w:tc>
          <w:tcPr>
            <w:tcW w:w="8800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08" w:beforeAutospacing="0"/>
              <w:ind w:left="0" w:firstLine="3440"/>
            </w:pPr>
            <w:r>
              <w:rPr>
                <w:rFonts w:hint="eastAsia" w:ascii="宋体" w:hAnsi="宋体" w:eastAsia="宋体" w:cs="宋体"/>
                <w:spacing w:val="1"/>
                <w:sz w:val="20"/>
                <w:szCs w:val="20"/>
                <w:bdr w:val="none" w:color="auto" w:sz="0" w:space="0"/>
              </w:rPr>
              <w:t>第二十条</w:t>
            </w:r>
            <w:r>
              <w:rPr>
                <w:rFonts w:hint="eastAsia" w:ascii="宋体" w:hAnsi="宋体" w:eastAsia="宋体" w:cs="宋体"/>
                <w:spacing w:val="3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spacing w:val="1"/>
                <w:sz w:val="20"/>
                <w:szCs w:val="20"/>
                <w:bdr w:val="none" w:color="auto" w:sz="0" w:space="0"/>
              </w:rPr>
              <w:t>第（六）项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5" w:hRule="atLeast"/>
        </w:trPr>
        <w:tc>
          <w:tcPr>
            <w:tcW w:w="329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09" w:beforeAutospacing="0"/>
              <w:ind w:left="0" w:firstLine="1219"/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bdr w:val="none" w:color="auto" w:sz="0" w:space="0"/>
              </w:rPr>
              <w:t>信息内容</w:t>
            </w:r>
          </w:p>
        </w:tc>
        <w:tc>
          <w:tcPr>
            <w:tcW w:w="5508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08" w:beforeAutospacing="0"/>
              <w:ind w:left="0" w:firstLine="1937"/>
            </w:pPr>
            <w:r>
              <w:rPr>
                <w:rFonts w:hint="eastAsia" w:ascii="宋体" w:hAnsi="宋体" w:eastAsia="宋体" w:cs="宋体"/>
                <w:spacing w:val="-1"/>
                <w:sz w:val="20"/>
                <w:szCs w:val="20"/>
                <w:bdr w:val="none" w:color="auto" w:sz="0" w:space="0"/>
              </w:rPr>
              <w:t>本年处理决定数量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329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09" w:beforeAutospacing="0"/>
              <w:ind w:left="0" w:firstLine="79"/>
            </w:pP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  <w:bdr w:val="none" w:color="auto" w:sz="0" w:space="0"/>
              </w:rPr>
              <w:t>行政处罚</w:t>
            </w:r>
          </w:p>
        </w:tc>
        <w:tc>
          <w:tcPr>
            <w:tcW w:w="550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sz w:val="21"/>
                <w:szCs w:val="21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329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09" w:beforeAutospacing="0"/>
              <w:ind w:left="0" w:firstLine="79"/>
            </w:pPr>
            <w:r>
              <w:rPr>
                <w:rFonts w:hint="eastAsia" w:ascii="宋体" w:hAnsi="宋体" w:eastAsia="宋体" w:cs="宋体"/>
                <w:spacing w:val="4"/>
                <w:sz w:val="20"/>
                <w:szCs w:val="20"/>
                <w:bdr w:val="none" w:color="auto" w:sz="0" w:space="0"/>
              </w:rPr>
              <w:t>行政强制</w:t>
            </w:r>
          </w:p>
        </w:tc>
        <w:tc>
          <w:tcPr>
            <w:tcW w:w="550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sz w:val="21"/>
                <w:szCs w:val="21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8800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09" w:beforeAutospacing="0"/>
              <w:ind w:left="0" w:firstLine="3440"/>
            </w:pPr>
            <w:r>
              <w:rPr>
                <w:rFonts w:hint="eastAsia" w:ascii="宋体" w:hAnsi="宋体" w:eastAsia="宋体" w:cs="宋体"/>
                <w:spacing w:val="1"/>
                <w:sz w:val="20"/>
                <w:szCs w:val="20"/>
                <w:bdr w:val="none" w:color="auto" w:sz="0" w:space="0"/>
              </w:rPr>
              <w:t>第二十条</w:t>
            </w:r>
            <w:r>
              <w:rPr>
                <w:rFonts w:hint="eastAsia" w:ascii="宋体" w:hAnsi="宋体" w:eastAsia="宋体" w:cs="宋体"/>
                <w:spacing w:val="3"/>
                <w:sz w:val="20"/>
                <w:szCs w:val="20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spacing w:val="1"/>
                <w:sz w:val="20"/>
                <w:szCs w:val="20"/>
                <w:bdr w:val="none" w:color="auto" w:sz="0" w:space="0"/>
              </w:rPr>
              <w:t>第（八）项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5" w:hRule="atLeast"/>
        </w:trPr>
        <w:tc>
          <w:tcPr>
            <w:tcW w:w="329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09" w:beforeAutospacing="0"/>
              <w:ind w:left="0" w:firstLine="1199"/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bdr w:val="none" w:color="auto" w:sz="0" w:space="0"/>
              </w:rPr>
              <w:t>信息内容</w:t>
            </w:r>
          </w:p>
        </w:tc>
        <w:tc>
          <w:tcPr>
            <w:tcW w:w="5508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08" w:beforeAutospacing="0"/>
              <w:ind w:left="0" w:firstLine="1487"/>
            </w:pPr>
            <w:r>
              <w:rPr>
                <w:rFonts w:hint="eastAsia" w:ascii="宋体" w:hAnsi="宋体" w:eastAsia="宋体" w:cs="宋体"/>
                <w:spacing w:val="7"/>
                <w:sz w:val="20"/>
                <w:szCs w:val="20"/>
                <w:bdr w:val="none" w:color="auto" w:sz="0" w:space="0"/>
              </w:rPr>
              <w:t>本年收费金额（单位:万元）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329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09" w:beforeAutospacing="0"/>
              <w:ind w:left="0" w:firstLine="79"/>
            </w:pPr>
            <w:r>
              <w:rPr>
                <w:rFonts w:hint="eastAsia" w:ascii="宋体" w:hAnsi="宋体" w:eastAsia="宋体" w:cs="宋体"/>
                <w:spacing w:val="1"/>
                <w:sz w:val="20"/>
                <w:szCs w:val="20"/>
                <w:bdr w:val="none" w:color="auto" w:sz="0" w:space="0"/>
              </w:rPr>
              <w:t>行政事业性收费</w:t>
            </w:r>
          </w:p>
        </w:tc>
        <w:tc>
          <w:tcPr>
            <w:tcW w:w="550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88" w:beforeAutospacing="0" w:line="26" w:lineRule="atLeast"/>
        <w:ind w:left="0" w:firstLine="808"/>
      </w:pPr>
      <w:r>
        <w:rPr>
          <w:rStyle w:val="5"/>
          <w:rFonts w:hint="default" w:ascii="微软雅黑" w:hAnsi="微软雅黑" w:eastAsia="微软雅黑" w:cs="微软雅黑"/>
          <w:spacing w:val="28"/>
          <w:sz w:val="24"/>
          <w:szCs w:val="24"/>
        </w:rPr>
        <w:t>三、收到和处理政府信息公开申请情况</w:t>
      </w:r>
    </w:p>
    <w:tbl>
      <w:tblPr>
        <w:tblW w:w="8719" w:type="dxa"/>
        <w:tblInd w:w="118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54"/>
        <w:gridCol w:w="725"/>
        <w:gridCol w:w="2647"/>
        <w:gridCol w:w="631"/>
        <w:gridCol w:w="700"/>
        <w:gridCol w:w="684"/>
        <w:gridCol w:w="643"/>
        <w:gridCol w:w="642"/>
        <w:gridCol w:w="646"/>
        <w:gridCol w:w="647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5" w:hRule="atLeast"/>
        </w:trPr>
        <w:tc>
          <w:tcPr>
            <w:tcW w:w="4160" w:type="dxa"/>
            <w:gridSpan w:val="3"/>
            <w:vMerge w:val="restart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cs="Arial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65" w:beforeAutospacing="0"/>
              <w:ind w:left="489" w:right="329" w:hanging="289"/>
            </w:pP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</w:rPr>
              <w:t>（本列数据的勾稽关系为:第一项加第二</w:t>
            </w:r>
            <w:r>
              <w:rPr>
                <w:rFonts w:hint="eastAsia" w:ascii="宋体" w:hAnsi="宋体" w:eastAsia="宋体" w:cs="宋体"/>
                <w:spacing w:val="2"/>
                <w:sz w:val="20"/>
                <w:szCs w:val="20"/>
              </w:rPr>
              <w:t> </w:t>
            </w: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</w:rPr>
              <w:t>项之和，等于第三项加第四项之和）</w:t>
            </w:r>
          </w:p>
        </w:tc>
        <w:tc>
          <w:tcPr>
            <w:tcW w:w="4559" w:type="dxa"/>
            <w:gridSpan w:val="7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5" w:beforeAutospacing="0"/>
              <w:ind w:left="0" w:firstLine="1770"/>
            </w:pPr>
            <w:r>
              <w:rPr>
                <w:rFonts w:hint="eastAsia" w:ascii="宋体" w:hAnsi="宋体" w:eastAsia="宋体" w:cs="宋体"/>
                <w:spacing w:val="1"/>
                <w:sz w:val="20"/>
                <w:szCs w:val="20"/>
                <w:bdr w:val="none" w:color="auto" w:sz="0" w:space="0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4160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8" w:type="dxa"/>
            <w:vMerge w:val="restart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cs="Arial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61" w:beforeAutospacing="0"/>
              <w:ind w:left="0" w:firstLine="19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自然人</w:t>
            </w:r>
          </w:p>
        </w:tc>
        <w:tc>
          <w:tcPr>
            <w:tcW w:w="3253" w:type="dxa"/>
            <w:gridSpan w:val="5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5" w:beforeAutospacing="0"/>
              <w:ind w:left="0" w:firstLine="922"/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bdr w:val="none" w:color="auto" w:sz="0" w:space="0"/>
              </w:rPr>
              <w:t>法人或其他组织</w:t>
            </w:r>
          </w:p>
        </w:tc>
        <w:tc>
          <w:tcPr>
            <w:tcW w:w="658" w:type="dxa"/>
            <w:vMerge w:val="restart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cs="Arial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65" w:beforeAutospacing="0"/>
              <w:ind w:left="0" w:firstLine="118"/>
            </w:pPr>
            <w:r>
              <w:rPr>
                <w:rFonts w:hint="eastAsia" w:ascii="宋体" w:hAnsi="宋体" w:eastAsia="宋体" w:cs="宋体"/>
                <w:spacing w:val="4"/>
                <w:sz w:val="20"/>
                <w:szCs w:val="20"/>
                <w:bdr w:val="none" w:color="auto" w:sz="0" w:space="0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4" w:hRule="atLeast"/>
        </w:trPr>
        <w:tc>
          <w:tcPr>
            <w:tcW w:w="4160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8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/>
              <w:ind w:left="122" w:right="126"/>
            </w:pPr>
            <w:r>
              <w:rPr>
                <w:rFonts w:hint="eastAsia" w:ascii="宋体" w:hAnsi="宋体" w:eastAsia="宋体" w:cs="宋体"/>
                <w:spacing w:val="-6"/>
                <w:sz w:val="20"/>
                <w:szCs w:val="20"/>
              </w:rPr>
              <w:t>商业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 </w:t>
            </w:r>
            <w:r>
              <w:rPr>
                <w:rFonts w:hint="eastAsia" w:ascii="宋体" w:hAnsi="宋体" w:eastAsia="宋体" w:cs="宋体"/>
                <w:spacing w:val="-6"/>
                <w:sz w:val="20"/>
                <w:szCs w:val="20"/>
              </w:rPr>
              <w:t>企业</w:t>
            </w:r>
          </w:p>
        </w:tc>
        <w:tc>
          <w:tcPr>
            <w:tcW w:w="63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4" w:beforeAutospacing="0"/>
              <w:ind w:left="123" w:right="81"/>
            </w:pPr>
            <w:r>
              <w:rPr>
                <w:rFonts w:hint="eastAsia" w:ascii="宋体" w:hAnsi="宋体" w:eastAsia="宋体" w:cs="宋体"/>
                <w:spacing w:val="-4"/>
                <w:sz w:val="20"/>
                <w:szCs w:val="20"/>
              </w:rPr>
              <w:t>科研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 </w:t>
            </w: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</w:rPr>
              <w:t>机构</w:t>
            </w:r>
          </w:p>
        </w:tc>
        <w:tc>
          <w:tcPr>
            <w:tcW w:w="64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54" w:beforeAutospacing="0"/>
              <w:ind w:left="5" w:right="12"/>
            </w:pPr>
            <w:r>
              <w:rPr>
                <w:rFonts w:hint="eastAsia" w:ascii="宋体" w:hAnsi="宋体" w:eastAsia="宋体" w:cs="宋体"/>
                <w:spacing w:val="3"/>
                <w:sz w:val="20"/>
                <w:szCs w:val="20"/>
              </w:rPr>
              <w:t>社会公</w:t>
            </w:r>
            <w:r>
              <w:rPr>
                <w:rFonts w:hint="eastAsia" w:ascii="宋体" w:hAnsi="宋体" w:eastAsia="宋体" w:cs="宋体"/>
                <w:spacing w:val="2"/>
                <w:sz w:val="20"/>
                <w:szCs w:val="20"/>
              </w:rPr>
              <w:t> </w:t>
            </w:r>
            <w:r>
              <w:rPr>
                <w:rFonts w:hint="eastAsia" w:ascii="宋体" w:hAnsi="宋体" w:eastAsia="宋体" w:cs="宋体"/>
                <w:spacing w:val="3"/>
                <w:sz w:val="20"/>
                <w:szCs w:val="20"/>
              </w:rPr>
              <w:t>益组织</w:t>
            </w:r>
          </w:p>
        </w:tc>
        <w:tc>
          <w:tcPr>
            <w:tcW w:w="64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6" w:beforeAutospacing="0"/>
              <w:ind w:left="6" w:right="8"/>
            </w:pPr>
            <w:r>
              <w:rPr>
                <w:rFonts w:hint="eastAsia" w:ascii="宋体" w:hAnsi="宋体" w:eastAsia="宋体" w:cs="宋体"/>
                <w:spacing w:val="-3"/>
                <w:sz w:val="20"/>
                <w:szCs w:val="20"/>
              </w:rPr>
              <w:t>法律服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 </w:t>
            </w:r>
            <w:r>
              <w:rPr>
                <w:rFonts w:hint="eastAsia" w:ascii="宋体" w:hAnsi="宋体" w:eastAsia="宋体" w:cs="宋体"/>
                <w:spacing w:val="4"/>
                <w:sz w:val="20"/>
                <w:szCs w:val="20"/>
              </w:rPr>
              <w:t>务机构</w:t>
            </w:r>
          </w:p>
        </w:tc>
        <w:tc>
          <w:tcPr>
            <w:tcW w:w="65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95" w:beforeAutospacing="0"/>
              <w:ind w:left="0" w:firstLine="127"/>
            </w:pPr>
            <w:r>
              <w:rPr>
                <w:rFonts w:hint="eastAsia" w:ascii="宋体" w:hAnsi="宋体" w:eastAsia="宋体" w:cs="宋体"/>
                <w:spacing w:val="-3"/>
                <w:sz w:val="20"/>
                <w:szCs w:val="20"/>
                <w:bdr w:val="none" w:color="auto" w:sz="0" w:space="0"/>
              </w:rPr>
              <w:t>其他</w:t>
            </w:r>
          </w:p>
        </w:tc>
        <w:tc>
          <w:tcPr>
            <w:tcW w:w="658" w:type="dxa"/>
            <w:vMerge w:val="continue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416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5" w:beforeAutospacing="0"/>
              <w:ind w:left="0" w:firstLine="79"/>
            </w:pPr>
            <w:r>
              <w:rPr>
                <w:rFonts w:hint="eastAsia" w:ascii="宋体" w:hAnsi="宋体" w:eastAsia="宋体" w:cs="宋体"/>
                <w:spacing w:val="-1"/>
                <w:sz w:val="20"/>
                <w:szCs w:val="20"/>
                <w:bdr w:val="none" w:color="auto" w:sz="0" w:space="0"/>
              </w:rPr>
              <w:t>一、本年新收政府信息公开申请数量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5" w:hRule="atLeast"/>
        </w:trPr>
        <w:tc>
          <w:tcPr>
            <w:tcW w:w="416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5" w:beforeAutospacing="0"/>
              <w:ind w:left="0" w:firstLine="79"/>
            </w:pPr>
            <w:r>
              <w:rPr>
                <w:rFonts w:hint="eastAsia" w:ascii="宋体" w:hAnsi="宋体" w:eastAsia="宋体" w:cs="宋体"/>
                <w:spacing w:val="-1"/>
                <w:sz w:val="20"/>
                <w:szCs w:val="20"/>
                <w:bdr w:val="none" w:color="auto" w:sz="0" w:space="0"/>
              </w:rPr>
              <w:t>二、上年结转政府信息公开申请数量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5" w:hRule="atLeast"/>
        </w:trPr>
        <w:tc>
          <w:tcPr>
            <w:tcW w:w="738" w:type="dxa"/>
            <w:vMerge w:val="restart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55" w:beforeAutospacing="0"/>
              <w:ind w:left="130" w:right="6" w:hanging="130"/>
            </w:pP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55" w:beforeAutospacing="0"/>
              <w:ind w:left="130" w:right="6" w:hanging="130"/>
            </w:pP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55" w:beforeAutospacing="0"/>
              <w:ind w:left="130" w:right="6" w:hanging="130"/>
            </w:pP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55" w:beforeAutospacing="0"/>
              <w:ind w:left="130" w:right="6" w:hanging="130"/>
            </w:pP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55" w:beforeAutospacing="0"/>
              <w:ind w:left="130" w:right="6" w:hanging="130"/>
            </w:pP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55" w:beforeAutospacing="0"/>
              <w:ind w:left="130" w:right="6" w:hanging="130"/>
            </w:pP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55" w:beforeAutospacing="0"/>
              <w:ind w:left="130" w:right="6" w:hanging="130"/>
            </w:pP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55" w:beforeAutospacing="0"/>
              <w:ind w:left="130" w:right="6" w:hanging="130"/>
            </w:pP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55" w:beforeAutospacing="0"/>
              <w:ind w:left="130" w:right="6" w:hanging="130"/>
            </w:pP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55" w:beforeAutospacing="0"/>
              <w:ind w:left="130" w:right="6" w:hanging="130"/>
            </w:pP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55" w:beforeAutospacing="0"/>
              <w:ind w:left="130" w:right="6" w:hanging="130"/>
            </w:pP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55" w:beforeAutospacing="0"/>
              <w:ind w:left="130" w:right="6" w:hanging="130"/>
            </w:pP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55" w:beforeAutospacing="0"/>
              <w:ind w:left="130" w:right="6" w:hanging="130"/>
            </w:pP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55" w:beforeAutospacing="0"/>
              <w:ind w:left="130" w:right="6" w:hanging="130"/>
            </w:pP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55" w:beforeAutospacing="0"/>
              <w:ind w:left="130" w:right="6" w:hanging="130"/>
            </w:pP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55" w:beforeAutospacing="0"/>
              <w:ind w:left="130" w:right="6" w:hanging="130"/>
            </w:pP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55" w:beforeAutospacing="0"/>
              <w:ind w:left="130" w:right="6" w:hanging="130"/>
            </w:pP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55" w:beforeAutospacing="0"/>
              <w:ind w:left="130" w:right="6" w:hanging="130"/>
            </w:pP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55" w:beforeAutospacing="0"/>
              <w:ind w:left="130" w:right="6" w:hanging="130"/>
            </w:pP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</w:rPr>
              <w:t>三、本年 度办理  结果</w:t>
            </w:r>
          </w:p>
        </w:tc>
        <w:tc>
          <w:tcPr>
            <w:tcW w:w="342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55" w:beforeAutospacing="0"/>
              <w:ind w:left="130" w:right="6" w:hanging="130"/>
            </w:pP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</w:rPr>
              <w:t>（一）予以公开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5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73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2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55" w:beforeAutospacing="0"/>
              <w:ind w:left="130" w:right="6" w:hanging="130"/>
            </w:pP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</w:rPr>
              <w:t>（二）部分公开（区分处理的，只计这 一情形，不计其他情形）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5" w:hRule="atLeast"/>
        </w:trPr>
        <w:tc>
          <w:tcPr>
            <w:tcW w:w="73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8" w:type="dxa"/>
            <w:vMerge w:val="restart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55" w:beforeAutospacing="0"/>
              <w:ind w:left="130" w:right="6" w:hanging="130"/>
            </w:pP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55" w:beforeAutospacing="0"/>
              <w:ind w:left="130" w:right="6" w:hanging="130"/>
            </w:pP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55" w:beforeAutospacing="0"/>
              <w:ind w:left="130" w:right="6" w:hanging="130"/>
            </w:pP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55" w:beforeAutospacing="0"/>
              <w:ind w:left="130" w:right="6" w:hanging="130"/>
            </w:pP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55" w:beforeAutospacing="0"/>
              <w:ind w:left="130" w:right="6" w:hanging="130"/>
            </w:pP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</w:rPr>
              <w:t>（三）不 予公开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55" w:beforeAutospacing="0"/>
              <w:ind w:left="130" w:right="6" w:hanging="130"/>
            </w:pP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</w:rPr>
              <w:t>1.属于国家秘密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5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73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8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5" w:beforeAutospacing="0"/>
              <w:ind w:left="489" w:right="329" w:hanging="289"/>
            </w:pP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</w:rPr>
              <w:t>2.其他法律行政法规禁止 公开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5" w:hRule="atLeast"/>
        </w:trPr>
        <w:tc>
          <w:tcPr>
            <w:tcW w:w="73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8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5" w:beforeAutospacing="0"/>
              <w:ind w:left="489" w:right="329" w:hanging="289"/>
            </w:pP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</w:rPr>
              <w:t>3.危及“三安全一稳定”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5" w:hRule="atLeast"/>
        </w:trPr>
        <w:tc>
          <w:tcPr>
            <w:tcW w:w="73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8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5" w:beforeAutospacing="0"/>
              <w:ind w:left="489" w:right="329" w:hanging="289"/>
            </w:pP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</w:rPr>
              <w:t>4.保护第三方合法权益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73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8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5" w:beforeAutospacing="0"/>
              <w:ind w:left="489" w:right="329" w:hanging="289"/>
            </w:pP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</w:rPr>
              <w:t>5.属于三类内部事务信息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5" w:hRule="atLeast"/>
        </w:trPr>
        <w:tc>
          <w:tcPr>
            <w:tcW w:w="73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8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5" w:beforeAutospacing="0"/>
              <w:ind w:left="489" w:right="329" w:hanging="289"/>
            </w:pP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</w:rPr>
              <w:t>6.属于四类过程性信息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5" w:hRule="atLeast"/>
        </w:trPr>
        <w:tc>
          <w:tcPr>
            <w:tcW w:w="73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8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5" w:beforeAutospacing="0"/>
              <w:ind w:left="489" w:right="329" w:hanging="289"/>
            </w:pP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</w:rPr>
              <w:t>7.属于行政执法案卷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5" w:hRule="atLeast"/>
        </w:trPr>
        <w:tc>
          <w:tcPr>
            <w:tcW w:w="73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8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5" w:beforeAutospacing="0"/>
              <w:ind w:left="489" w:right="329" w:hanging="289"/>
            </w:pP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</w:rPr>
              <w:t>8.属于行政查询事项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73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8" w:type="dxa"/>
            <w:vMerge w:val="restart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55" w:beforeAutospacing="0"/>
              <w:ind w:left="130" w:right="6" w:hanging="130"/>
            </w:pP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</w:rPr>
              <w:t>（四）无 法提供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5" w:beforeAutospacing="0"/>
              <w:ind w:left="489" w:right="329" w:hanging="289"/>
            </w:pP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</w:rPr>
              <w:t>1. 本机关不掌握相关政府信息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5" w:hRule="atLeast"/>
        </w:trPr>
        <w:tc>
          <w:tcPr>
            <w:tcW w:w="73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8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5" w:beforeAutospacing="0"/>
              <w:ind w:left="489" w:right="329" w:hanging="289"/>
            </w:pP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</w:rPr>
              <w:t>2. 没有现成信息需要另行制作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5" w:hRule="atLeast"/>
        </w:trPr>
        <w:tc>
          <w:tcPr>
            <w:tcW w:w="73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8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5" w:beforeAutospacing="0"/>
              <w:ind w:left="489" w:right="329" w:hanging="289"/>
            </w:pP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</w:rPr>
              <w:t>3.补正后申请内容仍不明确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5" w:hRule="atLeast"/>
        </w:trPr>
        <w:tc>
          <w:tcPr>
            <w:tcW w:w="73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8" w:type="dxa"/>
            <w:vMerge w:val="restart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55" w:beforeAutospacing="0"/>
              <w:ind w:left="130" w:right="6" w:hanging="130"/>
            </w:pP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55" w:beforeAutospacing="0"/>
              <w:ind w:left="130" w:right="6" w:hanging="130"/>
            </w:pP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55" w:beforeAutospacing="0"/>
              <w:ind w:left="130" w:right="6" w:hanging="130"/>
            </w:pP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55" w:beforeAutospacing="0"/>
              <w:ind w:left="130" w:right="6" w:hanging="130"/>
            </w:pP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</w:rPr>
              <w:t>（五）不予处理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5" w:beforeAutospacing="0"/>
              <w:ind w:left="489" w:right="329" w:hanging="289"/>
            </w:pP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</w:rPr>
              <w:t>1.信访举报投诉类申请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5" w:hRule="atLeast"/>
        </w:trPr>
        <w:tc>
          <w:tcPr>
            <w:tcW w:w="73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8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5" w:beforeAutospacing="0"/>
              <w:ind w:left="489" w:right="329" w:hanging="289"/>
            </w:pP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</w:rPr>
              <w:t>2.重复申请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5" w:hRule="atLeast"/>
        </w:trPr>
        <w:tc>
          <w:tcPr>
            <w:tcW w:w="73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8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5" w:beforeAutospacing="0"/>
              <w:ind w:left="489" w:right="329" w:hanging="289"/>
            </w:pP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</w:rPr>
              <w:t>3. 要求提供公开出版物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5" w:hRule="atLeast"/>
        </w:trPr>
        <w:tc>
          <w:tcPr>
            <w:tcW w:w="73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8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5" w:beforeAutospacing="0"/>
              <w:ind w:left="489" w:right="329" w:hanging="289"/>
            </w:pP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</w:rPr>
              <w:t>4.无正当理由大量反复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65" w:beforeAutospacing="0"/>
              <w:ind w:left="489" w:right="329" w:hanging="289"/>
            </w:pP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</w:rPr>
              <w:t>申请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73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8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5" w:beforeAutospacing="0"/>
              <w:ind w:left="489" w:right="329" w:hanging="289"/>
            </w:pP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</w:rPr>
              <w:t>5.要求行政机关确认或重 新出具已获取信息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4" w:hRule="atLeast"/>
        </w:trPr>
        <w:tc>
          <w:tcPr>
            <w:tcW w:w="73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8" w:type="dxa"/>
            <w:vMerge w:val="restart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cs="Arial"/>
                <w:sz w:val="21"/>
                <w:szCs w:val="21"/>
                <w:bdr w:val="none" w:color="auto" w:sz="0" w:space="0"/>
                <w:shd w:val="clear" w:fill="FFFF0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cs="Arial"/>
                <w:sz w:val="21"/>
                <w:szCs w:val="21"/>
                <w:bdr w:val="none" w:color="auto" w:sz="0" w:space="0"/>
                <w:shd w:val="clear" w:fill="FFFF0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cs="Arial"/>
                <w:sz w:val="21"/>
                <w:szCs w:val="21"/>
                <w:bdr w:val="none" w:color="auto" w:sz="0" w:space="0"/>
                <w:shd w:val="clear" w:fill="FFFF0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55" w:beforeAutospacing="0"/>
              <w:ind w:left="130" w:right="6" w:hanging="130"/>
            </w:pP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</w:rPr>
              <w:t>（六）其 他处理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5" w:beforeAutospacing="0"/>
              <w:ind w:left="489" w:right="329" w:hanging="289"/>
            </w:pP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</w:rPr>
              <w:t>1.申请人无正当理由逾期  不补正、行政机关不再处理 其政府信息公开申请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4" w:hRule="atLeast"/>
        </w:trPr>
        <w:tc>
          <w:tcPr>
            <w:tcW w:w="73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8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5" w:beforeAutospacing="0"/>
              <w:ind w:left="489" w:right="329" w:hanging="289"/>
            </w:pP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</w:rPr>
              <w:t>2.申请人逾期未按收费通知   要求缴纳费用、行政机关不再 处理其政府信息公开申请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73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8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5" w:beforeAutospacing="0"/>
              <w:ind w:left="489" w:right="329" w:hanging="289"/>
            </w:pP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</w:rPr>
              <w:t>3. 其他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5" w:hRule="atLeast"/>
        </w:trPr>
        <w:tc>
          <w:tcPr>
            <w:tcW w:w="738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2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/>
            </w:pPr>
            <w:r>
              <w:rPr>
                <w:rFonts w:hint="eastAsia" w:ascii="宋体" w:hAnsi="宋体" w:eastAsia="宋体" w:cs="宋体"/>
                <w:spacing w:val="20"/>
                <w:sz w:val="19"/>
                <w:szCs w:val="19"/>
                <w:bdr w:val="none" w:color="auto" w:sz="0" w:space="0"/>
              </w:rPr>
              <w:t>（七）总计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5" w:hRule="atLeast"/>
        </w:trPr>
        <w:tc>
          <w:tcPr>
            <w:tcW w:w="416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/>
              <w:ind w:left="0" w:firstLine="79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四、结转下年度继续办理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91" w:beforeAutospacing="0" w:line="26" w:lineRule="atLeast"/>
        <w:ind w:left="0" w:firstLine="696"/>
      </w:pPr>
      <w:r>
        <w:rPr>
          <w:rStyle w:val="5"/>
          <w:rFonts w:hint="default" w:ascii="微软雅黑" w:hAnsi="微软雅黑" w:eastAsia="微软雅黑" w:cs="微软雅黑"/>
          <w:spacing w:val="14"/>
          <w:sz w:val="24"/>
          <w:szCs w:val="24"/>
        </w:rPr>
        <w:t>四、政府信息公开行政复议、行政诉讼情况</w:t>
      </w:r>
    </w:p>
    <w:tbl>
      <w:tblPr>
        <w:tblW w:w="8864" w:type="dxa"/>
        <w:tblInd w:w="135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63"/>
        <w:gridCol w:w="655"/>
        <w:gridCol w:w="659"/>
        <w:gridCol w:w="663"/>
        <w:gridCol w:w="310"/>
        <w:gridCol w:w="643"/>
        <w:gridCol w:w="675"/>
        <w:gridCol w:w="649"/>
        <w:gridCol w:w="674"/>
        <w:gridCol w:w="310"/>
        <w:gridCol w:w="652"/>
        <w:gridCol w:w="675"/>
        <w:gridCol w:w="650"/>
        <w:gridCol w:w="675"/>
        <w:gridCol w:w="31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4" w:hRule="atLeast"/>
        </w:trPr>
        <w:tc>
          <w:tcPr>
            <w:tcW w:w="295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5" w:beforeAutospacing="0"/>
              <w:ind w:left="0" w:firstLine="1039"/>
            </w:pPr>
            <w:r>
              <w:rPr>
                <w:rFonts w:hint="eastAsia" w:ascii="宋体" w:hAnsi="宋体" w:eastAsia="宋体" w:cs="宋体"/>
                <w:spacing w:val="2"/>
                <w:sz w:val="20"/>
                <w:szCs w:val="20"/>
                <w:bdr w:val="none" w:color="auto" w:sz="0" w:space="0"/>
              </w:rPr>
              <w:t>行政复议</w:t>
            </w:r>
          </w:p>
        </w:tc>
        <w:tc>
          <w:tcPr>
            <w:tcW w:w="5914" w:type="dxa"/>
            <w:gridSpan w:val="10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5" w:beforeAutospacing="0"/>
              <w:ind w:left="0" w:firstLine="2486"/>
            </w:pPr>
            <w:r>
              <w:rPr>
                <w:rFonts w:hint="eastAsia" w:ascii="宋体" w:hAnsi="宋体" w:eastAsia="宋体" w:cs="宋体"/>
                <w:spacing w:val="-3"/>
                <w:sz w:val="20"/>
                <w:szCs w:val="20"/>
                <w:bdr w:val="none" w:color="auto" w:sz="0" w:space="0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4" w:hRule="atLeast"/>
        </w:trPr>
        <w:tc>
          <w:tcPr>
            <w:tcW w:w="663" w:type="dxa"/>
            <w:vMerge w:val="restart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47" w:beforeAutospacing="0"/>
              <w:ind w:left="80" w:right="76"/>
            </w:pPr>
            <w:r>
              <w:rPr>
                <w:rFonts w:hint="eastAsia" w:ascii="宋体" w:hAnsi="宋体" w:eastAsia="宋体" w:cs="宋体"/>
                <w:spacing w:val="5"/>
                <w:sz w:val="20"/>
                <w:szCs w:val="20"/>
              </w:rPr>
              <w:t>结果</w:t>
            </w:r>
            <w:r>
              <w:rPr>
                <w:rFonts w:hint="eastAsia" w:ascii="宋体" w:hAnsi="宋体" w:eastAsia="宋体" w:cs="宋体"/>
                <w:spacing w:val="1"/>
                <w:sz w:val="20"/>
                <w:szCs w:val="20"/>
              </w:rPr>
              <w:t> </w:t>
            </w:r>
            <w:r>
              <w:rPr>
                <w:rFonts w:hint="eastAsia" w:ascii="宋体" w:hAnsi="宋体" w:eastAsia="宋体" w:cs="宋体"/>
                <w:spacing w:val="-3"/>
                <w:sz w:val="20"/>
                <w:szCs w:val="20"/>
              </w:rPr>
              <w:t>维持</w:t>
            </w:r>
          </w:p>
        </w:tc>
        <w:tc>
          <w:tcPr>
            <w:tcW w:w="655" w:type="dxa"/>
            <w:vMerge w:val="restart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46" w:beforeAutospacing="0"/>
              <w:ind w:left="61" w:right="75"/>
            </w:pPr>
            <w:r>
              <w:rPr>
                <w:rFonts w:hint="eastAsia" w:ascii="宋体" w:hAnsi="宋体" w:eastAsia="宋体" w:cs="宋体"/>
                <w:spacing w:val="5"/>
                <w:sz w:val="20"/>
                <w:szCs w:val="20"/>
              </w:rPr>
              <w:t>结果</w:t>
            </w:r>
            <w:r>
              <w:rPr>
                <w:rFonts w:hint="eastAsia" w:ascii="宋体" w:hAnsi="宋体" w:eastAsia="宋体" w:cs="宋体"/>
                <w:spacing w:val="1"/>
                <w:sz w:val="20"/>
                <w:szCs w:val="20"/>
              </w:rPr>
              <w:t> </w:t>
            </w:r>
            <w:r>
              <w:rPr>
                <w:rFonts w:hint="eastAsia" w:ascii="宋体" w:hAnsi="宋体" w:eastAsia="宋体" w:cs="宋体"/>
                <w:spacing w:val="5"/>
                <w:sz w:val="20"/>
                <w:szCs w:val="20"/>
              </w:rPr>
              <w:t>纠正</w:t>
            </w:r>
          </w:p>
        </w:tc>
        <w:tc>
          <w:tcPr>
            <w:tcW w:w="659" w:type="dxa"/>
            <w:vMerge w:val="restart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06" w:beforeAutospacing="0"/>
              <w:ind w:left="72" w:right="84"/>
            </w:pPr>
            <w:r>
              <w:rPr>
                <w:rFonts w:hint="eastAsia" w:ascii="宋体" w:hAnsi="宋体" w:eastAsia="宋体" w:cs="宋体"/>
                <w:spacing w:val="-5"/>
                <w:sz w:val="20"/>
                <w:szCs w:val="20"/>
              </w:rPr>
              <w:t>其他</w:t>
            </w:r>
            <w:r>
              <w:rPr>
                <w:rFonts w:hint="eastAsia" w:ascii="宋体" w:hAnsi="宋体" w:eastAsia="宋体" w:cs="宋体"/>
                <w:spacing w:val="1"/>
                <w:sz w:val="20"/>
                <w:szCs w:val="20"/>
              </w:rPr>
              <w:t> </w:t>
            </w:r>
            <w:r>
              <w:rPr>
                <w:rFonts w:hint="eastAsia" w:ascii="宋体" w:hAnsi="宋体" w:eastAsia="宋体" w:cs="宋体"/>
                <w:spacing w:val="5"/>
                <w:sz w:val="20"/>
                <w:szCs w:val="20"/>
              </w:rPr>
              <w:t>结果</w:t>
            </w:r>
          </w:p>
        </w:tc>
        <w:tc>
          <w:tcPr>
            <w:tcW w:w="663" w:type="dxa"/>
            <w:vMerge w:val="restart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206" w:beforeAutospacing="0"/>
              <w:ind w:left="43" w:right="102"/>
            </w:pPr>
            <w:r>
              <w:rPr>
                <w:rFonts w:hint="eastAsia" w:ascii="宋体" w:hAnsi="宋体" w:eastAsia="宋体" w:cs="宋体"/>
                <w:spacing w:val="5"/>
                <w:sz w:val="20"/>
                <w:szCs w:val="20"/>
              </w:rPr>
              <w:t>尚未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 </w:t>
            </w:r>
            <w:r>
              <w:rPr>
                <w:rFonts w:hint="eastAsia" w:ascii="宋体" w:hAnsi="宋体" w:eastAsia="宋体" w:cs="宋体"/>
                <w:spacing w:val="5"/>
                <w:sz w:val="20"/>
                <w:szCs w:val="20"/>
              </w:rPr>
              <w:t>审结</w:t>
            </w:r>
          </w:p>
        </w:tc>
        <w:tc>
          <w:tcPr>
            <w:tcW w:w="310" w:type="dxa"/>
            <w:vMerge w:val="restart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cs="Arial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65" w:beforeAutospacing="0"/>
            </w:pPr>
            <w:r>
              <w:rPr>
                <w:rFonts w:hint="eastAsia" w:ascii="宋体" w:hAnsi="宋体" w:eastAsia="宋体" w:cs="宋体"/>
                <w:spacing w:val="4"/>
                <w:sz w:val="20"/>
                <w:szCs w:val="20"/>
                <w:bdr w:val="none" w:color="auto" w:sz="0" w:space="0"/>
              </w:rPr>
              <w:t>总计</w:t>
            </w:r>
          </w:p>
        </w:tc>
        <w:tc>
          <w:tcPr>
            <w:tcW w:w="2951" w:type="dxa"/>
            <w:gridSpan w:val="5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6" w:beforeAutospacing="0"/>
              <w:ind w:left="0" w:firstLine="636"/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bdr w:val="none" w:color="auto" w:sz="0" w:space="0"/>
              </w:rPr>
              <w:t>未经复议直接起诉</w:t>
            </w:r>
          </w:p>
        </w:tc>
        <w:tc>
          <w:tcPr>
            <w:tcW w:w="2963" w:type="dxa"/>
            <w:gridSpan w:val="5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6" w:beforeAutospacing="0"/>
              <w:ind w:left="0" w:firstLine="943"/>
            </w:pPr>
            <w:r>
              <w:rPr>
                <w:rFonts w:hint="eastAsia" w:ascii="宋体" w:hAnsi="宋体" w:eastAsia="宋体" w:cs="宋体"/>
                <w:spacing w:val="1"/>
                <w:sz w:val="20"/>
                <w:szCs w:val="20"/>
                <w:bdr w:val="none" w:color="auto" w:sz="0" w:space="0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3" w:hRule="atLeast"/>
        </w:trPr>
        <w:tc>
          <w:tcPr>
            <w:tcW w:w="663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5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9" w:type="dxa"/>
            <w:vMerge w:val="continue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3" w:type="dxa"/>
            <w:vMerge w:val="continue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0" w:type="dxa"/>
            <w:vMerge w:val="continue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56" w:beforeAutospacing="0"/>
              <w:ind w:left="67" w:right="69"/>
            </w:pPr>
            <w:r>
              <w:rPr>
                <w:rFonts w:hint="eastAsia" w:ascii="宋体" w:hAnsi="宋体" w:eastAsia="宋体" w:cs="宋体"/>
                <w:spacing w:val="5"/>
                <w:sz w:val="20"/>
                <w:szCs w:val="20"/>
              </w:rPr>
              <w:t>结果</w:t>
            </w:r>
            <w:r>
              <w:rPr>
                <w:rFonts w:hint="eastAsia" w:ascii="宋体" w:hAnsi="宋体" w:eastAsia="宋体" w:cs="宋体"/>
                <w:spacing w:val="1"/>
                <w:sz w:val="20"/>
                <w:szCs w:val="20"/>
              </w:rPr>
              <w:t> </w:t>
            </w:r>
            <w:r>
              <w:rPr>
                <w:rFonts w:hint="eastAsia" w:ascii="宋体" w:hAnsi="宋体" w:eastAsia="宋体" w:cs="宋体"/>
                <w:spacing w:val="-3"/>
                <w:sz w:val="20"/>
                <w:szCs w:val="20"/>
              </w:rPr>
              <w:t>维持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57" w:beforeAutospacing="0"/>
              <w:ind w:left="78" w:right="78"/>
            </w:pPr>
            <w:r>
              <w:rPr>
                <w:rFonts w:hint="eastAsia" w:ascii="宋体" w:hAnsi="宋体" w:eastAsia="宋体" w:cs="宋体"/>
                <w:spacing w:val="5"/>
                <w:sz w:val="20"/>
                <w:szCs w:val="20"/>
              </w:rPr>
              <w:t>结果</w:t>
            </w:r>
            <w:r>
              <w:rPr>
                <w:rFonts w:hint="eastAsia" w:ascii="宋体" w:hAnsi="宋体" w:eastAsia="宋体" w:cs="宋体"/>
                <w:spacing w:val="1"/>
                <w:sz w:val="20"/>
                <w:szCs w:val="20"/>
              </w:rPr>
              <w:t> </w:t>
            </w:r>
            <w:r>
              <w:rPr>
                <w:rFonts w:hint="eastAsia" w:ascii="宋体" w:hAnsi="宋体" w:eastAsia="宋体" w:cs="宋体"/>
                <w:spacing w:val="5"/>
                <w:sz w:val="20"/>
                <w:szCs w:val="20"/>
              </w:rPr>
              <w:t>纠正</w:t>
            </w:r>
          </w:p>
        </w:tc>
        <w:tc>
          <w:tcPr>
            <w:tcW w:w="64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57" w:beforeAutospacing="0"/>
              <w:ind w:left="79" w:right="67"/>
            </w:pPr>
            <w:r>
              <w:rPr>
                <w:rFonts w:hint="eastAsia" w:ascii="宋体" w:hAnsi="宋体" w:eastAsia="宋体" w:cs="宋体"/>
                <w:spacing w:val="-5"/>
                <w:sz w:val="20"/>
                <w:szCs w:val="20"/>
              </w:rPr>
              <w:t>其他</w:t>
            </w:r>
            <w:r>
              <w:rPr>
                <w:rFonts w:hint="eastAsia" w:ascii="宋体" w:hAnsi="宋体" w:eastAsia="宋体" w:cs="宋体"/>
                <w:spacing w:val="1"/>
                <w:sz w:val="20"/>
                <w:szCs w:val="20"/>
              </w:rPr>
              <w:t> </w:t>
            </w:r>
            <w:r>
              <w:rPr>
                <w:rFonts w:hint="eastAsia" w:ascii="宋体" w:hAnsi="宋体" w:eastAsia="宋体" w:cs="宋体"/>
                <w:spacing w:val="5"/>
                <w:sz w:val="20"/>
                <w:szCs w:val="20"/>
              </w:rPr>
              <w:t>结果</w:t>
            </w:r>
          </w:p>
        </w:tc>
        <w:tc>
          <w:tcPr>
            <w:tcW w:w="67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57" w:beforeAutospacing="0"/>
              <w:ind w:left="80" w:right="76"/>
            </w:pPr>
            <w:r>
              <w:rPr>
                <w:rFonts w:hint="eastAsia" w:ascii="宋体" w:hAnsi="宋体" w:eastAsia="宋体" w:cs="宋体"/>
                <w:spacing w:val="5"/>
                <w:sz w:val="20"/>
                <w:szCs w:val="20"/>
              </w:rPr>
              <w:t>尚未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 </w:t>
            </w:r>
            <w:r>
              <w:rPr>
                <w:rFonts w:hint="eastAsia" w:ascii="宋体" w:hAnsi="宋体" w:eastAsia="宋体" w:cs="宋体"/>
                <w:spacing w:val="5"/>
                <w:sz w:val="20"/>
                <w:szCs w:val="20"/>
              </w:rPr>
              <w:t>审结</w:t>
            </w:r>
          </w:p>
        </w:tc>
        <w:tc>
          <w:tcPr>
            <w:tcW w:w="31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97" w:beforeAutospacing="0"/>
            </w:pPr>
            <w:r>
              <w:rPr>
                <w:rFonts w:hint="eastAsia" w:ascii="宋体" w:hAnsi="宋体" w:eastAsia="宋体" w:cs="宋体"/>
                <w:spacing w:val="4"/>
                <w:sz w:val="20"/>
                <w:szCs w:val="20"/>
                <w:bdr w:val="none" w:color="auto" w:sz="0" w:space="0"/>
              </w:rPr>
              <w:t>总计</w:t>
            </w:r>
          </w:p>
        </w:tc>
        <w:tc>
          <w:tcPr>
            <w:tcW w:w="65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7" w:beforeAutospacing="0"/>
              <w:ind w:left="83" w:right="62"/>
            </w:pPr>
            <w:r>
              <w:rPr>
                <w:rFonts w:hint="eastAsia" w:ascii="宋体" w:hAnsi="宋体" w:eastAsia="宋体" w:cs="宋体"/>
                <w:spacing w:val="5"/>
                <w:sz w:val="20"/>
                <w:szCs w:val="20"/>
              </w:rPr>
              <w:t>结果</w:t>
            </w:r>
            <w:r>
              <w:rPr>
                <w:rFonts w:hint="eastAsia" w:ascii="宋体" w:hAnsi="宋体" w:eastAsia="宋体" w:cs="宋体"/>
                <w:spacing w:val="1"/>
                <w:sz w:val="20"/>
                <w:szCs w:val="20"/>
              </w:rPr>
              <w:t> </w:t>
            </w:r>
            <w:r>
              <w:rPr>
                <w:rFonts w:hint="eastAsia" w:ascii="宋体" w:hAnsi="宋体" w:eastAsia="宋体" w:cs="宋体"/>
                <w:spacing w:val="-3"/>
                <w:sz w:val="20"/>
                <w:szCs w:val="20"/>
              </w:rPr>
              <w:t>维持</w:t>
            </w:r>
          </w:p>
        </w:tc>
        <w:tc>
          <w:tcPr>
            <w:tcW w:w="67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57" w:beforeAutospacing="0"/>
              <w:ind w:left="85" w:right="71"/>
            </w:pPr>
            <w:r>
              <w:rPr>
                <w:rFonts w:hint="eastAsia" w:ascii="宋体" w:hAnsi="宋体" w:eastAsia="宋体" w:cs="宋体"/>
                <w:spacing w:val="5"/>
                <w:sz w:val="20"/>
                <w:szCs w:val="20"/>
              </w:rPr>
              <w:t>结果</w:t>
            </w:r>
            <w:r>
              <w:rPr>
                <w:rFonts w:hint="eastAsia" w:ascii="宋体" w:hAnsi="宋体" w:eastAsia="宋体" w:cs="宋体"/>
                <w:spacing w:val="1"/>
                <w:sz w:val="20"/>
                <w:szCs w:val="20"/>
              </w:rPr>
              <w:t> </w:t>
            </w:r>
            <w:r>
              <w:rPr>
                <w:rFonts w:hint="eastAsia" w:ascii="宋体" w:hAnsi="宋体" w:eastAsia="宋体" w:cs="宋体"/>
                <w:spacing w:val="5"/>
                <w:sz w:val="20"/>
                <w:szCs w:val="20"/>
              </w:rPr>
              <w:t>纠正</w:t>
            </w:r>
          </w:p>
        </w:tc>
        <w:tc>
          <w:tcPr>
            <w:tcW w:w="6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57" w:beforeAutospacing="0"/>
              <w:ind w:left="86" w:right="60"/>
            </w:pPr>
            <w:r>
              <w:rPr>
                <w:rFonts w:hint="eastAsia" w:ascii="宋体" w:hAnsi="宋体" w:eastAsia="宋体" w:cs="宋体"/>
                <w:spacing w:val="-5"/>
                <w:sz w:val="20"/>
                <w:szCs w:val="20"/>
              </w:rPr>
              <w:t>其他</w:t>
            </w:r>
            <w:r>
              <w:rPr>
                <w:rFonts w:hint="eastAsia" w:ascii="宋体" w:hAnsi="宋体" w:eastAsia="宋体" w:cs="宋体"/>
                <w:spacing w:val="1"/>
                <w:sz w:val="20"/>
                <w:szCs w:val="20"/>
              </w:rPr>
              <w:t> </w:t>
            </w:r>
            <w:r>
              <w:rPr>
                <w:rFonts w:hint="eastAsia" w:ascii="宋体" w:hAnsi="宋体" w:eastAsia="宋体" w:cs="宋体"/>
                <w:spacing w:val="5"/>
                <w:sz w:val="20"/>
                <w:szCs w:val="20"/>
              </w:rPr>
              <w:t>结果</w:t>
            </w:r>
          </w:p>
        </w:tc>
        <w:tc>
          <w:tcPr>
            <w:tcW w:w="67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57" w:beforeAutospacing="0"/>
              <w:ind w:left="87" w:right="69"/>
            </w:pPr>
            <w:r>
              <w:rPr>
                <w:rFonts w:hint="eastAsia" w:ascii="宋体" w:hAnsi="宋体" w:eastAsia="宋体" w:cs="宋体"/>
                <w:spacing w:val="5"/>
                <w:sz w:val="20"/>
                <w:szCs w:val="20"/>
              </w:rPr>
              <w:t>尚未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 </w:t>
            </w:r>
            <w:r>
              <w:rPr>
                <w:rFonts w:hint="eastAsia" w:ascii="宋体" w:hAnsi="宋体" w:eastAsia="宋体" w:cs="宋体"/>
                <w:spacing w:val="5"/>
                <w:sz w:val="20"/>
                <w:szCs w:val="20"/>
              </w:rPr>
              <w:t>审结</w:t>
            </w:r>
          </w:p>
        </w:tc>
        <w:tc>
          <w:tcPr>
            <w:tcW w:w="31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97" w:beforeAutospacing="0"/>
            </w:pPr>
            <w:r>
              <w:rPr>
                <w:rFonts w:hint="eastAsia" w:ascii="宋体" w:hAnsi="宋体" w:eastAsia="宋体" w:cs="宋体"/>
                <w:spacing w:val="4"/>
                <w:sz w:val="20"/>
                <w:szCs w:val="20"/>
                <w:bdr w:val="none" w:color="auto" w:sz="0" w:space="0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4" w:hRule="atLeast"/>
        </w:trPr>
        <w:tc>
          <w:tcPr>
            <w:tcW w:w="6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3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3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3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eastAsia="宋体" w:cs="Arial"/>
                <w:sz w:val="21"/>
                <w:szCs w:val="21"/>
                <w:bdr w:val="none" w:color="auto" w:sz="0" w:space="0"/>
              </w:rP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line="26" w:lineRule="atLeast"/>
        <w:ind w:left="0" w:firstLine="640"/>
      </w:pPr>
      <w:r>
        <w:rPr>
          <w:rStyle w:val="5"/>
          <w:rFonts w:hint="default" w:ascii="微软雅黑" w:hAnsi="微软雅黑" w:eastAsia="微软雅黑" w:cs="微软雅黑"/>
          <w:caps w:val="0"/>
          <w:spacing w:val="0"/>
          <w:sz w:val="24"/>
          <w:szCs w:val="24"/>
          <w:shd w:val="clear" w:fill="FFFFFF"/>
        </w:rPr>
        <w:t>五、政府信息公开工作存在的主要问题及改进情况</w:t>
      </w:r>
    </w:p>
    <w:p>
      <w:pPr>
        <w:pStyle w:val="2"/>
        <w:keepNext w:val="0"/>
        <w:keepLines w:val="0"/>
        <w:widowControl/>
        <w:suppressLineNumbers w:val="0"/>
        <w:spacing w:line="26" w:lineRule="atLeast"/>
        <w:ind w:left="0" w:firstLine="640"/>
      </w:pPr>
      <w:r>
        <w:rPr>
          <w:rFonts w:hint="default" w:ascii="微软雅黑" w:hAnsi="微软雅黑" w:eastAsia="微软雅黑" w:cs="微软雅黑"/>
          <w:caps w:val="0"/>
          <w:spacing w:val="0"/>
          <w:sz w:val="24"/>
          <w:szCs w:val="24"/>
          <w:shd w:val="clear" w:fill="FFFFFF"/>
        </w:rPr>
        <w:t>（一）存在的主要问题</w:t>
      </w:r>
    </w:p>
    <w:p>
      <w:pPr>
        <w:pStyle w:val="2"/>
        <w:keepNext w:val="0"/>
        <w:keepLines w:val="0"/>
        <w:widowControl/>
        <w:suppressLineNumbers w:val="0"/>
        <w:spacing w:line="26" w:lineRule="atLeast"/>
        <w:ind w:left="0" w:firstLine="640"/>
      </w:pPr>
      <w:r>
        <w:rPr>
          <w:rFonts w:hint="default" w:ascii="微软雅黑" w:hAnsi="微软雅黑" w:eastAsia="微软雅黑" w:cs="微软雅黑"/>
          <w:caps w:val="0"/>
          <w:spacing w:val="0"/>
          <w:sz w:val="24"/>
          <w:szCs w:val="24"/>
          <w:shd w:val="clear" w:fill="FFFFFF"/>
        </w:rPr>
        <w:t>1. 政策解读形式不够丰富，以文字解读为主，图解、视频等可视化解读占比不足，群众理解接受度有待提升；</w:t>
      </w:r>
    </w:p>
    <w:p>
      <w:pPr>
        <w:pStyle w:val="2"/>
        <w:keepNext w:val="0"/>
        <w:keepLines w:val="0"/>
        <w:widowControl/>
        <w:suppressLineNumbers w:val="0"/>
        <w:spacing w:line="26" w:lineRule="atLeast"/>
        <w:ind w:left="0" w:firstLine="640"/>
      </w:pPr>
      <w:r>
        <w:rPr>
          <w:rFonts w:hint="default" w:ascii="微软雅黑" w:hAnsi="微软雅黑" w:eastAsia="微软雅黑" w:cs="微软雅黑"/>
          <w:caps w:val="0"/>
          <w:spacing w:val="0"/>
          <w:sz w:val="24"/>
          <w:szCs w:val="24"/>
          <w:shd w:val="clear" w:fill="FFFFFF"/>
        </w:rPr>
        <w:t>2. 公开信息与群众需求的精准匹配度需进一步提高，部分民生类、服务类信息公开时效仍有优化空间；</w:t>
      </w:r>
    </w:p>
    <w:p>
      <w:pPr>
        <w:pStyle w:val="2"/>
        <w:keepNext w:val="0"/>
        <w:keepLines w:val="0"/>
        <w:widowControl/>
        <w:suppressLineNumbers w:val="0"/>
        <w:spacing w:line="26" w:lineRule="atLeast"/>
        <w:ind w:left="0" w:firstLine="640"/>
      </w:pPr>
      <w:r>
        <w:rPr>
          <w:rFonts w:hint="default" w:ascii="微软雅黑" w:hAnsi="微软雅黑" w:eastAsia="微软雅黑" w:cs="微软雅黑"/>
          <w:caps w:val="0"/>
          <w:spacing w:val="0"/>
          <w:sz w:val="24"/>
          <w:szCs w:val="24"/>
          <w:shd w:val="clear" w:fill="FFFFFF"/>
        </w:rPr>
        <w:t>（二）改进措施</w:t>
      </w:r>
    </w:p>
    <w:p>
      <w:pPr>
        <w:pStyle w:val="2"/>
        <w:keepNext w:val="0"/>
        <w:keepLines w:val="0"/>
        <w:widowControl/>
        <w:suppressLineNumbers w:val="0"/>
        <w:spacing w:line="26" w:lineRule="atLeast"/>
        <w:ind w:left="0" w:firstLine="640"/>
      </w:pPr>
      <w:r>
        <w:rPr>
          <w:rFonts w:hint="default" w:ascii="微软雅黑" w:hAnsi="微软雅黑" w:eastAsia="微软雅黑" w:cs="微软雅黑"/>
          <w:caps w:val="0"/>
          <w:spacing w:val="0"/>
          <w:sz w:val="24"/>
          <w:szCs w:val="24"/>
          <w:shd w:val="clear" w:fill="FFFFFF"/>
        </w:rPr>
        <w:t>1. 丰富政策解读形式，落实政策制定制度，对重要消防政策采用“文字+图解+短视频”组合解读模式，计划制作可视化解读作品，提升政策传播效果；</w:t>
      </w:r>
    </w:p>
    <w:p>
      <w:pPr>
        <w:pStyle w:val="2"/>
        <w:keepNext w:val="0"/>
        <w:keepLines w:val="0"/>
        <w:widowControl/>
        <w:suppressLineNumbers w:val="0"/>
        <w:spacing w:line="26" w:lineRule="atLeast"/>
        <w:ind w:left="0" w:firstLine="640"/>
      </w:pPr>
      <w:r>
        <w:rPr>
          <w:rFonts w:hint="default" w:ascii="微软雅黑" w:hAnsi="微软雅黑" w:eastAsia="微软雅黑" w:cs="微软雅黑"/>
          <w:caps w:val="0"/>
          <w:spacing w:val="0"/>
          <w:sz w:val="24"/>
          <w:szCs w:val="24"/>
          <w:shd w:val="clear" w:fill="FFFFFF"/>
        </w:rPr>
        <w:t>2. 建立群众需求调研机制，通过政务新媒体、公开咨询点等渠道收集公众关注热点，动态调整公开重点，将民生关切的消防安全培训、隐患举报渠道等信息列为优先公开事项，确保信息发布“快、准、实”；</w:t>
      </w:r>
    </w:p>
    <w:p>
      <w:pPr>
        <w:pStyle w:val="2"/>
        <w:keepNext w:val="0"/>
        <w:keepLines w:val="0"/>
        <w:widowControl/>
        <w:suppressLineNumbers w:val="0"/>
        <w:spacing w:line="26" w:lineRule="atLeast"/>
        <w:ind w:left="0" w:firstLine="640"/>
      </w:pPr>
      <w:r>
        <w:rPr>
          <w:rStyle w:val="5"/>
          <w:rFonts w:hint="default" w:ascii="微软雅黑" w:hAnsi="微软雅黑" w:eastAsia="微软雅黑" w:cs="微软雅黑"/>
          <w:caps w:val="0"/>
          <w:spacing w:val="0"/>
          <w:sz w:val="24"/>
          <w:szCs w:val="24"/>
          <w:shd w:val="clear" w:fill="FFFFFF"/>
        </w:rPr>
        <w:t> 六、其他需要报告的事项</w:t>
      </w:r>
    </w:p>
    <w:p>
      <w:pPr>
        <w:pStyle w:val="2"/>
        <w:keepNext w:val="0"/>
        <w:keepLines w:val="0"/>
        <w:widowControl/>
        <w:suppressLineNumbers w:val="0"/>
        <w:spacing w:line="26" w:lineRule="atLeast"/>
        <w:ind w:left="0" w:firstLine="640"/>
      </w:pPr>
      <w:r>
        <w:rPr>
          <w:rFonts w:hint="default" w:ascii="微软雅黑" w:hAnsi="微软雅黑" w:eastAsia="微软雅黑" w:cs="微软雅黑"/>
          <w:caps w:val="0"/>
          <w:spacing w:val="0"/>
          <w:sz w:val="24"/>
          <w:szCs w:val="24"/>
          <w:shd w:val="clear" w:fill="FFFFFF"/>
        </w:rPr>
        <w:t>（一）2025年度，张店区消防救援大队未收取政府信息公开信息处理费。</w:t>
      </w:r>
    </w:p>
    <w:p>
      <w:pPr>
        <w:pStyle w:val="2"/>
        <w:keepNext w:val="0"/>
        <w:keepLines w:val="0"/>
        <w:widowControl/>
        <w:suppressLineNumbers w:val="0"/>
        <w:spacing w:line="26" w:lineRule="atLeast"/>
        <w:ind w:left="0" w:firstLine="640"/>
      </w:pPr>
      <w:r>
        <w:rPr>
          <w:rFonts w:hint="default" w:ascii="微软雅黑" w:hAnsi="微软雅黑" w:eastAsia="微软雅黑" w:cs="微软雅黑"/>
          <w:caps w:val="0"/>
          <w:spacing w:val="0"/>
          <w:sz w:val="24"/>
          <w:szCs w:val="24"/>
          <w:shd w:val="clear" w:fill="FFFFFF"/>
        </w:rPr>
        <w:t>（二）2025年度张店区消防救援大队收到人大/政协委员提案1份，已答复。</w:t>
      </w:r>
    </w:p>
    <w:p>
      <w:pPr>
        <w:pStyle w:val="2"/>
        <w:keepNext w:val="0"/>
        <w:keepLines w:val="0"/>
        <w:widowControl/>
        <w:suppressLineNumbers w:val="0"/>
        <w:spacing w:line="26" w:lineRule="atLeast"/>
        <w:ind w:left="0" w:firstLine="640"/>
      </w:pPr>
      <w:r>
        <w:rPr>
          <w:rFonts w:hint="default" w:ascii="微软雅黑" w:hAnsi="微软雅黑" w:eastAsia="微软雅黑" w:cs="微软雅黑"/>
          <w:caps w:val="0"/>
          <w:spacing w:val="0"/>
          <w:sz w:val="24"/>
          <w:szCs w:val="24"/>
          <w:shd w:val="clear" w:fill="FFFFFF"/>
        </w:rPr>
        <w:t>（三）张店区消防救援大队以创新思维推动政务公开工作提质增效，在制度建设上，完善消防政务公开配套管理机制，明确公开权责、时限与审核标准，构建标准化、规范化的公开制度体系，实现“线上+线下”联动、“核心+延伸”互补的公开平台格局，切实提升消防政务公开的实效性和群众获得感。</w:t>
      </w:r>
    </w:p>
    <w:p>
      <w:pPr>
        <w:pStyle w:val="2"/>
        <w:keepNext w:val="0"/>
        <w:keepLines w:val="0"/>
        <w:widowControl/>
        <w:suppressLineNumbers w:val="0"/>
        <w:spacing w:line="26" w:lineRule="atLeast"/>
        <w:ind w:left="0" w:firstLine="640"/>
      </w:pPr>
      <w:r>
        <w:rPr>
          <w:rFonts w:hint="default" w:ascii="微软雅黑" w:hAnsi="微软雅黑" w:eastAsia="微软雅黑" w:cs="微软雅黑"/>
          <w:caps w:val="0"/>
          <w:spacing w:val="0"/>
          <w:sz w:val="24"/>
          <w:szCs w:val="24"/>
          <w:shd w:val="clear" w:fill="FFFFFF"/>
        </w:rPr>
        <w:t>（四）2025年，张店区消防救援大队严格落实《2025年张店区政务公开工作要点分工方案》要求，锚定消防政务公开工作重点，压实工作责任、细化落实举措，依托区政府网站信息公开平台规范开展公开工作，健全公开审核、发布及运维机制，聚焦群众关切的消防执法、便民服务等领域优化公开内容，做到公开及时、内容精准、形式规范，全面完成政务公开各项工作任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0" w:firstLineChars="1500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kern w:val="2"/>
          <w:sz w:val="32"/>
          <w:szCs w:val="32"/>
          <w:shd w:val="clear" w:fill="FFFFFF"/>
          <w:lang w:val="en-US" w:eastAsia="zh-CN" w:bidi="ar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altName w:val="方正黑体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573452"/>
    <w:rsid w:val="0ED53E2C"/>
    <w:rsid w:val="1A754EBC"/>
    <w:rsid w:val="1F0A70F3"/>
    <w:rsid w:val="20301F25"/>
    <w:rsid w:val="23176EE5"/>
    <w:rsid w:val="29F67183"/>
    <w:rsid w:val="2B726FF9"/>
    <w:rsid w:val="30D06D99"/>
    <w:rsid w:val="31457804"/>
    <w:rsid w:val="370C5ACC"/>
    <w:rsid w:val="3A37AE30"/>
    <w:rsid w:val="3E04510C"/>
    <w:rsid w:val="4AC7408F"/>
    <w:rsid w:val="609668FD"/>
    <w:rsid w:val="7AFF73BA"/>
    <w:rsid w:val="DEB63320"/>
    <w:rsid w:val="FE7F89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1795</Words>
  <Characters>1869</Characters>
  <Lines>0</Lines>
  <Paragraphs>0</Paragraphs>
  <TotalTime>347</TotalTime>
  <ScaleCrop>false</ScaleCrop>
  <LinksUpToDate>false</LinksUpToDate>
  <CharactersWithSpaces>1884</CharactersWithSpaces>
  <Application>WPS Office_11.8.2.10505_F1E327BC-269C-435d-A152-05C5408002CA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2025-11-27T16:00:00Z</dcterms:created>
  <dc:creator>Administrator</dc:creator>
  <cp:lastModifiedBy>user</cp:lastModifiedBy>
  <cp:lastPrinted>2026-01-26T09:52:00Z</cp:lastPrinted>
  <dcterms:modified xsi:type="dcterms:W3CDTF">2026-02-02T11:08:19Z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  <property fmtid="{D5CDD505-2E9C-101B-9397-08002B2CF9AE}" pid="3" name="KSOTemplateDocerSaveRecord">
    <vt:lpwstr>eyJoZGlkIjoiMmEwYTljYWY5OGU3Yzk2ZjE0MWI5OWU0NTIxYzE2YzAiLCJ1c2VySWQiOiIzMTY1MTU0ODAifQ==</vt:lpwstr>
  </property>
  <property fmtid="{D5CDD505-2E9C-101B-9397-08002B2CF9AE}" pid="4" name="ICV">
    <vt:lpwstr>691341A632DB435BBE9D3AA525B33350_13</vt:lpwstr>
  </property>
</Properties>
</file>