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center"/>
        <w:textAlignment w:val="auto"/>
        <w:rPr>
          <w:rFonts w:hint="eastAsia" w:ascii="微软雅黑" w:hAnsi="微软雅黑" w:eastAsia="微软雅黑" w:cs="微软雅黑"/>
          <w:b/>
          <w:bCs/>
          <w:i w:val="0"/>
          <w:iCs w:val="0"/>
          <w:caps w:val="0"/>
          <w:color w:val="2E332D"/>
          <w:spacing w:val="0"/>
          <w:sz w:val="44"/>
          <w:szCs w:val="44"/>
          <w:shd w:val="clear" w:fill="FFFFFF"/>
          <w:lang w:eastAsia="zh-CN"/>
        </w:rPr>
      </w:pPr>
      <w:r>
        <w:rPr>
          <w:rFonts w:hint="eastAsia" w:ascii="微软雅黑" w:hAnsi="微软雅黑" w:eastAsia="微软雅黑" w:cs="微软雅黑"/>
          <w:b/>
          <w:bCs/>
          <w:i w:val="0"/>
          <w:iCs w:val="0"/>
          <w:caps w:val="0"/>
          <w:color w:val="2E332D"/>
          <w:spacing w:val="0"/>
          <w:sz w:val="44"/>
          <w:szCs w:val="44"/>
          <w:shd w:val="clear" w:fill="FFFFFF"/>
          <w:lang w:eastAsia="zh-CN"/>
        </w:rPr>
        <w:t>淄博新区建设发展服务中心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atLeast"/>
        <w:ind w:left="0" w:right="0" w:firstLine="0"/>
        <w:jc w:val="center"/>
        <w:textAlignment w:val="auto"/>
        <w:rPr>
          <w:rFonts w:hint="eastAsia" w:ascii="微软雅黑" w:hAnsi="微软雅黑" w:eastAsia="微软雅黑" w:cs="微软雅黑"/>
          <w:b/>
          <w:bCs/>
          <w:i w:val="0"/>
          <w:iCs w:val="0"/>
          <w:caps w:val="0"/>
          <w:color w:val="2E332D"/>
          <w:spacing w:val="0"/>
          <w:sz w:val="44"/>
          <w:szCs w:val="44"/>
          <w:shd w:val="clear" w:fill="FFFFFF"/>
          <w:lang w:eastAsia="zh-CN"/>
        </w:rPr>
      </w:pPr>
      <w:r>
        <w:rPr>
          <w:rFonts w:hint="eastAsia" w:ascii="微软雅黑" w:hAnsi="微软雅黑" w:eastAsia="微软雅黑" w:cs="微软雅黑"/>
          <w:b/>
          <w:bCs/>
          <w:i w:val="0"/>
          <w:iCs w:val="0"/>
          <w:caps w:val="0"/>
          <w:color w:val="2E332D"/>
          <w:spacing w:val="0"/>
          <w:sz w:val="44"/>
          <w:szCs w:val="44"/>
          <w:shd w:val="clear" w:fill="FFFFFF"/>
          <w:lang w:val="en-US" w:eastAsia="zh-CN"/>
        </w:rPr>
        <w:t>2021</w:t>
      </w:r>
      <w:r>
        <w:rPr>
          <w:rFonts w:hint="eastAsia" w:ascii="微软雅黑" w:hAnsi="微软雅黑" w:eastAsia="微软雅黑" w:cs="微软雅黑"/>
          <w:b/>
          <w:bCs/>
          <w:i w:val="0"/>
          <w:iCs w:val="0"/>
          <w:caps w:val="0"/>
          <w:color w:val="2E332D"/>
          <w:spacing w:val="0"/>
          <w:sz w:val="44"/>
          <w:szCs w:val="44"/>
          <w:shd w:val="clear" w:fill="FFFFFF"/>
          <w:lang w:eastAsia="zh-CN"/>
        </w:rPr>
        <w:t>年政府信息公开工作年度报告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微软雅黑" w:hAnsi="微软雅黑" w:eastAsia="微软雅黑" w:cs="微软雅黑"/>
          <w:i w:val="0"/>
          <w:iCs w:val="0"/>
          <w:caps w:val="0"/>
          <w:color w:val="2E332D"/>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60" w:firstLineChars="200"/>
        <w:jc w:val="left"/>
        <w:rPr>
          <w:rFonts w:hint="eastAsia" w:ascii="仿宋_GB2312" w:hAnsi="仿宋_GB2312" w:eastAsia="仿宋_GB2312" w:cs="仿宋_GB2312"/>
          <w:i w:val="0"/>
          <w:iCs w:val="0"/>
          <w:caps w:val="0"/>
          <w:color w:val="2E332D"/>
          <w:spacing w:val="0"/>
          <w:sz w:val="28"/>
          <w:szCs w:val="28"/>
        </w:rPr>
      </w:pPr>
      <w:r>
        <w:rPr>
          <w:rFonts w:hint="eastAsia" w:ascii="仿宋_GB2312" w:hAnsi="仿宋_GB2312" w:eastAsia="仿宋_GB2312" w:cs="仿宋_GB2312"/>
          <w:i w:val="0"/>
          <w:iCs w:val="0"/>
          <w:caps w:val="0"/>
          <w:color w:val="2E332D"/>
          <w:spacing w:val="0"/>
          <w:sz w:val="28"/>
          <w:szCs w:val="28"/>
        </w:rPr>
        <w:t>为贯彻落实《中华人民共和国政府信息公开条例》、国务院办公厅《关于政府信息公开工作年度报告有关事项的通知》要求，现将我单位202</w:t>
      </w:r>
      <w:r>
        <w:rPr>
          <w:rFonts w:hint="eastAsia" w:ascii="仿宋_GB2312" w:hAnsi="仿宋_GB2312" w:eastAsia="仿宋_GB2312" w:cs="仿宋_GB2312"/>
          <w:i w:val="0"/>
          <w:iCs w:val="0"/>
          <w:caps w:val="0"/>
          <w:color w:val="2E332D"/>
          <w:spacing w:val="0"/>
          <w:sz w:val="28"/>
          <w:szCs w:val="28"/>
          <w:lang w:val="en-US" w:eastAsia="zh-CN"/>
        </w:rPr>
        <w:t>1</w:t>
      </w:r>
      <w:r>
        <w:rPr>
          <w:rFonts w:hint="eastAsia" w:ascii="仿宋_GB2312" w:hAnsi="仿宋_GB2312" w:eastAsia="仿宋_GB2312" w:cs="仿宋_GB2312"/>
          <w:i w:val="0"/>
          <w:iCs w:val="0"/>
          <w:caps w:val="0"/>
          <w:color w:val="2E332D"/>
          <w:spacing w:val="0"/>
          <w:sz w:val="28"/>
          <w:szCs w:val="28"/>
        </w:rPr>
        <w:t>年度政府信息公开工作情况报告如下。</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仿宋_GB2312" w:hAnsi="仿宋_GB2312" w:eastAsia="仿宋_GB2312" w:cs="仿宋_GB2312"/>
          <w:b/>
          <w:bCs/>
          <w:i w:val="0"/>
          <w:iCs w:val="0"/>
          <w:caps w:val="0"/>
          <w:color w:val="2E332D"/>
          <w:spacing w:val="0"/>
          <w:sz w:val="28"/>
          <w:szCs w:val="28"/>
          <w:shd w:val="clear" w:fill="FFFFFF"/>
        </w:rPr>
      </w:pPr>
      <w:r>
        <w:rPr>
          <w:rFonts w:hint="eastAsia" w:ascii="仿宋_GB2312" w:hAnsi="仿宋_GB2312" w:eastAsia="仿宋_GB2312" w:cs="仿宋_GB2312"/>
          <w:b/>
          <w:bCs/>
          <w:i w:val="0"/>
          <w:iCs w:val="0"/>
          <w:caps w:val="0"/>
          <w:color w:val="2E332D"/>
          <w:spacing w:val="0"/>
          <w:sz w:val="28"/>
          <w:szCs w:val="28"/>
          <w:shd w:val="clear" w:fill="FFFFFF"/>
        </w:rPr>
        <w:t>总体情况</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主动公开政府信息情况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560" w:firstLineChars="20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坚持“以公开为常态、不公开为例外”的原则，依法依规做好公开工作。进一步加大信息发布力度，积极扩大主动公开的政府信息范围，细化公开内容，深化政府信息公开，持续提升公开水平。202</w:t>
      </w:r>
      <w:r>
        <w:rPr>
          <w:rFonts w:hint="eastAsia" w:ascii="仿宋_GB2312" w:hAnsi="仿宋_GB2312" w:eastAsia="仿宋_GB2312" w:cs="仿宋_GB2312"/>
          <w:b w:val="0"/>
          <w:bCs w:val="0"/>
          <w:i w:val="0"/>
          <w:iCs w:val="0"/>
          <w:caps w:val="0"/>
          <w:color w:val="2E332D"/>
          <w:spacing w:val="0"/>
          <w:sz w:val="28"/>
          <w:szCs w:val="28"/>
          <w:shd w:val="clear" w:fill="FFFFFF"/>
          <w:lang w:val="en-US" w:eastAsia="zh-CN"/>
        </w:rPr>
        <w:t>1</w:t>
      </w:r>
      <w:r>
        <w:rPr>
          <w:rFonts w:hint="eastAsia" w:ascii="仿宋_GB2312" w:hAnsi="仿宋_GB2312" w:eastAsia="仿宋_GB2312" w:cs="仿宋_GB2312"/>
          <w:b w:val="0"/>
          <w:bCs w:val="0"/>
          <w:i w:val="0"/>
          <w:iCs w:val="0"/>
          <w:caps w:val="0"/>
          <w:color w:val="2E332D"/>
          <w:spacing w:val="0"/>
          <w:sz w:val="28"/>
          <w:szCs w:val="28"/>
          <w:shd w:val="clear" w:fill="FFFFFF"/>
          <w:lang w:eastAsia="zh-CN"/>
        </w:rPr>
        <w:t>年，主动公开政府信息</w:t>
      </w:r>
      <w:r>
        <w:rPr>
          <w:rFonts w:hint="eastAsia" w:ascii="仿宋_GB2312" w:hAnsi="仿宋_GB2312" w:eastAsia="仿宋_GB2312" w:cs="仿宋_GB2312"/>
          <w:b w:val="0"/>
          <w:bCs w:val="0"/>
          <w:i w:val="0"/>
          <w:iCs w:val="0"/>
          <w:caps w:val="0"/>
          <w:color w:val="auto"/>
          <w:spacing w:val="0"/>
          <w:sz w:val="28"/>
          <w:szCs w:val="28"/>
          <w:highlight w:val="none"/>
          <w:shd w:val="clear" w:fill="FFFFFF"/>
          <w:lang w:val="en-US" w:eastAsia="zh-CN"/>
        </w:rPr>
        <w:t>66</w:t>
      </w:r>
      <w:r>
        <w:rPr>
          <w:rFonts w:hint="eastAsia" w:ascii="仿宋_GB2312" w:hAnsi="仿宋_GB2312" w:eastAsia="仿宋_GB2312" w:cs="仿宋_GB2312"/>
          <w:b w:val="0"/>
          <w:bCs w:val="0"/>
          <w:i w:val="0"/>
          <w:iCs w:val="0"/>
          <w:caps w:val="0"/>
          <w:color w:val="2E332D"/>
          <w:spacing w:val="0"/>
          <w:sz w:val="28"/>
          <w:szCs w:val="28"/>
          <w:shd w:val="clear" w:fill="FFFFFF"/>
          <w:lang w:eastAsia="zh-CN"/>
        </w:rPr>
        <w:t>条。其中主要包括履职依据、机构职能、领导信息、会议公开、建议提案、权责清单、财政信息、重点领域信息公开、政策解读、业务动态、公众参与、机制建设等。</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政府信息依申请公开办理情况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val="en-US" w:eastAsia="zh-CN"/>
        </w:rPr>
        <w:t>1.</w:t>
      </w:r>
      <w:r>
        <w:rPr>
          <w:rFonts w:hint="eastAsia" w:ascii="仿宋_GB2312" w:hAnsi="仿宋_GB2312" w:eastAsia="仿宋_GB2312" w:cs="仿宋_GB2312"/>
          <w:b w:val="0"/>
          <w:bCs w:val="0"/>
          <w:i w:val="0"/>
          <w:iCs w:val="0"/>
          <w:caps w:val="0"/>
          <w:color w:val="2E332D"/>
          <w:spacing w:val="0"/>
          <w:sz w:val="28"/>
          <w:szCs w:val="28"/>
          <w:shd w:val="clear" w:fill="FFFFFF"/>
          <w:lang w:eastAsia="zh-CN"/>
        </w:rPr>
        <w:t>20</w:t>
      </w:r>
      <w:r>
        <w:rPr>
          <w:rFonts w:hint="eastAsia" w:ascii="仿宋_GB2312" w:hAnsi="仿宋_GB2312" w:eastAsia="仿宋_GB2312" w:cs="仿宋_GB2312"/>
          <w:b w:val="0"/>
          <w:bCs w:val="0"/>
          <w:i w:val="0"/>
          <w:iCs w:val="0"/>
          <w:caps w:val="0"/>
          <w:color w:val="2E332D"/>
          <w:spacing w:val="0"/>
          <w:sz w:val="28"/>
          <w:szCs w:val="28"/>
          <w:shd w:val="clear" w:fill="FFFFFF"/>
          <w:lang w:val="en-US" w:eastAsia="zh-CN"/>
        </w:rPr>
        <w:t>21</w:t>
      </w:r>
      <w:r>
        <w:rPr>
          <w:rFonts w:hint="eastAsia" w:ascii="仿宋_GB2312" w:hAnsi="仿宋_GB2312" w:eastAsia="仿宋_GB2312" w:cs="仿宋_GB2312"/>
          <w:b w:val="0"/>
          <w:bCs w:val="0"/>
          <w:i w:val="0"/>
          <w:iCs w:val="0"/>
          <w:caps w:val="0"/>
          <w:color w:val="2E332D"/>
          <w:spacing w:val="0"/>
          <w:sz w:val="28"/>
          <w:szCs w:val="28"/>
          <w:shd w:val="clear" w:fill="FFFFFF"/>
          <w:lang w:eastAsia="zh-CN"/>
        </w:rPr>
        <w:t xml:space="preserve">年我单位受理的申请数量：0件。 </w:t>
      </w:r>
    </w:p>
    <w:p>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对申请的办理情况：已答复件数：0件。</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jc w:val="left"/>
        <w:rPr>
          <w:rFonts w:hint="eastAsia" w:eastAsiaTheme="minorEastAsia"/>
          <w:lang w:eastAsia="zh-CN"/>
        </w:rPr>
      </w:pPr>
      <w:r>
        <w:rPr>
          <w:rFonts w:hint="eastAsia"/>
          <w:lang w:val="en-US" w:eastAsia="zh-CN"/>
        </w:rPr>
        <w:t xml:space="preserve">    </w:t>
      </w:r>
      <w:r>
        <w:rPr>
          <w:rFonts w:hint="eastAsia" w:eastAsiaTheme="minorEastAsia"/>
          <w:lang w:eastAsia="zh-CN"/>
        </w:rPr>
        <w:drawing>
          <wp:inline distT="0" distB="0" distL="114300" distR="114300">
            <wp:extent cx="4669790" cy="2957830"/>
            <wp:effectExtent l="4445" t="4445" r="12065"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jc w:val="left"/>
        <w:rPr>
          <w:rFonts w:hint="eastAsia" w:eastAsiaTheme="minorEastAsia"/>
          <w:lang w:eastAsia="zh-CN"/>
        </w:rPr>
      </w:pP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jc w:val="center"/>
        <w:rPr>
          <w:rFonts w:hint="eastAsia" w:eastAsiaTheme="minorEastAsia"/>
          <w:lang w:eastAsia="zh-CN"/>
        </w:rPr>
      </w:pPr>
      <w:r>
        <w:rPr>
          <w:rFonts w:hint="eastAsia" w:eastAsiaTheme="minorEastAsia"/>
          <w:lang w:eastAsia="zh-CN"/>
        </w:rPr>
        <w:drawing>
          <wp:inline distT="0" distB="0" distL="114300" distR="114300">
            <wp:extent cx="4391025" cy="3688715"/>
            <wp:effectExtent l="0" t="0" r="9525" b="6985"/>
            <wp:docPr id="2" name="图片 2" descr="微信图片_2022030915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309154851"/>
                    <pic:cNvPicPr>
                      <a:picLocks noChangeAspect="1"/>
                    </pic:cNvPicPr>
                  </pic:nvPicPr>
                  <pic:blipFill>
                    <a:blip r:embed="rId5"/>
                    <a:stretch>
                      <a:fillRect/>
                    </a:stretch>
                  </pic:blipFill>
                  <pic:spPr>
                    <a:xfrm>
                      <a:off x="0" y="0"/>
                      <a:ext cx="4391025" cy="3688715"/>
                    </a:xfrm>
                    <a:prstGeom prst="rect">
                      <a:avLst/>
                    </a:prstGeom>
                  </pic:spPr>
                </pic:pic>
              </a:graphicData>
            </a:graphic>
          </wp:inline>
        </w:drawing>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政府信息管理情况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560" w:firstLineChars="20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一是着力推进落实各项工作的公共政策和重要信息事项公开。我单位政府信息公开渠道主要依托区政府门户网站，做好主动公开、公众参与、监督保障等重点领域的政府信息公开。加大重大政策执行情况的公开力度，及时公开涉及社会公众利益的公共政策和重要信息事项，及时公布本单位人事变动信息和业务工作执行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560" w:firstLineChars="20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二是扎实做好政府信息主动公开工作。主动发布各类政府信息，坚持以政府门户网站和政务新媒体为主渠道做好信息公开，持续做好政府信息主动公开工作，做好政务信息送交、工作信息交流、信息公开目录更新等工作。规范信息公开工作流程，着力加强政府信息资源的规范化、标准化、信息化。</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560" w:firstLineChars="200"/>
        <w:jc w:val="left"/>
        <w:rPr>
          <w:rFonts w:hint="default" w:ascii="仿宋_GB2312" w:hAnsi="仿宋_GB2312" w:eastAsia="仿宋_GB2312" w:cs="仿宋_GB2312"/>
          <w:b w:val="0"/>
          <w:bCs w:val="0"/>
          <w:i w:val="0"/>
          <w:iCs w:val="0"/>
          <w:caps w:val="0"/>
          <w:color w:val="2E332D"/>
          <w:spacing w:val="0"/>
          <w:sz w:val="28"/>
          <w:szCs w:val="28"/>
          <w:shd w:val="clear" w:fill="FFFFFF"/>
          <w:lang w:val="en-US" w:eastAsia="zh-CN"/>
        </w:rPr>
      </w:pPr>
      <w:r>
        <w:rPr>
          <w:rFonts w:hint="eastAsia" w:ascii="仿宋_GB2312" w:hAnsi="仿宋_GB2312" w:eastAsia="仿宋_GB2312" w:cs="仿宋_GB2312"/>
          <w:b w:val="0"/>
          <w:bCs w:val="0"/>
          <w:i w:val="0"/>
          <w:iCs w:val="0"/>
          <w:caps w:val="0"/>
          <w:color w:val="2E332D"/>
          <w:spacing w:val="0"/>
          <w:sz w:val="28"/>
          <w:szCs w:val="28"/>
          <w:shd w:val="clear" w:fill="FFFFFF"/>
          <w:lang w:val="en-US" w:eastAsia="zh-CN"/>
        </w:rPr>
        <w:t>本年度主动公开规范性文件1件，依申请公开文件0件。</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政府信息公开平台建设情况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560" w:firstLineChars="20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val="en-US" w:eastAsia="zh-CN"/>
        </w:rPr>
        <w:t>2021年以来，</w:t>
      </w:r>
      <w:r>
        <w:rPr>
          <w:rFonts w:hint="eastAsia" w:ascii="仿宋_GB2312" w:hAnsi="仿宋_GB2312" w:eastAsia="仿宋_GB2312" w:cs="仿宋_GB2312"/>
          <w:b w:val="0"/>
          <w:bCs w:val="0"/>
          <w:i w:val="0"/>
          <w:iCs w:val="0"/>
          <w:caps w:val="0"/>
          <w:color w:val="2E332D"/>
          <w:spacing w:val="0"/>
          <w:sz w:val="28"/>
          <w:szCs w:val="28"/>
          <w:shd w:val="clear" w:fill="FFFFFF"/>
          <w:lang w:eastAsia="zh-CN"/>
        </w:rPr>
        <w:t>主动公开机构职能、领导信息、重点领域信息、监督保障等信息。及时公开本单位的有关信息，明确政务公开工作，优化网站栏目，完善网站内容，拓展公开渠道，增强政务公开互动，进一步完善政务公开内容，提高公开清晰度。逐步解决和改进在政务公开推进工作过程中遇到的问题，查找自身不足和工作中的薄弱环节，形成门户网站信息覆盖全面、内容完整、相互衔接的政府信息公开平台。</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政府信息公开监督保障</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rightChars="0" w:firstLine="560" w:firstLineChars="200"/>
        <w:jc w:val="left"/>
        <w:rPr>
          <w:rFonts w:hint="eastAsia" w:ascii="仿宋_GB2312" w:hAnsi="仿宋_GB2312" w:eastAsia="仿宋_GB2312" w:cs="仿宋_GB2312"/>
          <w:b w:val="0"/>
          <w:bCs w:val="0"/>
          <w:i w:val="0"/>
          <w:iCs w:val="0"/>
          <w:caps w:val="0"/>
          <w:color w:val="2E332D"/>
          <w:spacing w:val="0"/>
          <w:sz w:val="28"/>
          <w:szCs w:val="28"/>
          <w:shd w:val="clear" w:fill="FFFFFF"/>
          <w:lang w:eastAsia="zh-CN"/>
        </w:rPr>
      </w:pPr>
      <w:r>
        <w:rPr>
          <w:rFonts w:hint="eastAsia" w:ascii="仿宋_GB2312" w:hAnsi="仿宋_GB2312" w:eastAsia="仿宋_GB2312" w:cs="仿宋_GB2312"/>
          <w:b w:val="0"/>
          <w:bCs w:val="0"/>
          <w:i w:val="0"/>
          <w:iCs w:val="0"/>
          <w:caps w:val="0"/>
          <w:color w:val="2E332D"/>
          <w:spacing w:val="0"/>
          <w:sz w:val="28"/>
          <w:szCs w:val="28"/>
          <w:shd w:val="clear" w:fill="FFFFFF"/>
          <w:lang w:eastAsia="zh-CN"/>
        </w:rPr>
        <w:t>成立以分管领导为组长、综合科科长为副组长、各科室负责人为成员的政务公开领导小组，指定2名政府信息公开专职人员，负责本单位的信息收集、整理发布，按信息公开领导小组的要求开展工作，规范公开目录和形式，完善政务信息公开平台。2021年本中心举办政务公开业务培训共2次，进一步提高了本中心对全面推进政务公开工作的认识和业务能力。完善了政务公开工作长效机制，建立了较为完善的培训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i w:val="0"/>
          <w:iCs w:val="0"/>
          <w:caps w:val="0"/>
          <w:color w:val="2E332D"/>
          <w:spacing w:val="0"/>
          <w:sz w:val="24"/>
          <w:szCs w:val="24"/>
        </w:rPr>
      </w:pPr>
      <w:r>
        <w:rPr>
          <w:rFonts w:hint="eastAsia" w:ascii="微软雅黑" w:hAnsi="微软雅黑" w:eastAsia="微软雅黑" w:cs="微软雅黑"/>
          <w:b/>
          <w:bCs/>
          <w:i w:val="0"/>
          <w:iCs w:val="0"/>
          <w:caps w:val="0"/>
          <w:color w:val="2E332D"/>
          <w:spacing w:val="0"/>
          <w:sz w:val="24"/>
          <w:szCs w:val="24"/>
          <w:shd w:val="clear" w:fill="FFFFFF"/>
        </w:rPr>
        <w:t>二、主动公开政府信息情况</w:t>
      </w:r>
    </w:p>
    <w:tbl>
      <w:tblPr>
        <w:tblStyle w:val="4"/>
        <w:tblpPr w:leftFromText="180" w:rightFromText="180" w:vertAnchor="text" w:horzAnchor="page" w:tblpXSpec="center" w:tblpY="59"/>
        <w:tblOverlap w:val="never"/>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06"/>
        <w:gridCol w:w="2206"/>
        <w:gridCol w:w="2206"/>
        <w:gridCol w:w="2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8824" w:type="dxa"/>
            <w:gridSpan w:val="4"/>
            <w:shd w:val="clear" w:color="auto" w:fill="C5D9F0"/>
            <w:vAlign w:val="top"/>
          </w:tcPr>
          <w:p>
            <w:pPr>
              <w:pStyle w:val="6"/>
              <w:spacing w:before="148"/>
              <w:ind w:left="3445" w:right="3429"/>
              <w:jc w:val="center"/>
              <w:rPr>
                <w:rFonts w:hint="eastAsia" w:ascii="黑体" w:eastAsia="黑体"/>
                <w:sz w:val="21"/>
              </w:rPr>
            </w:pPr>
            <w:r>
              <w:rPr>
                <w:rFonts w:hint="eastAsia" w:ascii="黑体" w:eastAsia="黑体"/>
                <w:sz w:val="21"/>
              </w:rPr>
              <w:t>第二十条第（一）项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6" w:hRule="atLeast"/>
          <w:jc w:val="center"/>
        </w:trPr>
        <w:tc>
          <w:tcPr>
            <w:tcW w:w="2206" w:type="dxa"/>
            <w:vAlign w:val="top"/>
          </w:tcPr>
          <w:p>
            <w:pPr>
              <w:pStyle w:val="6"/>
              <w:spacing w:before="149"/>
              <w:ind w:right="664"/>
              <w:jc w:val="right"/>
              <w:rPr>
                <w:sz w:val="21"/>
              </w:rPr>
            </w:pPr>
            <w:r>
              <w:rPr>
                <w:w w:val="95"/>
                <w:sz w:val="21"/>
              </w:rPr>
              <w:t>信息内容</w:t>
            </w:r>
          </w:p>
        </w:tc>
        <w:tc>
          <w:tcPr>
            <w:tcW w:w="2206" w:type="dxa"/>
            <w:vAlign w:val="top"/>
          </w:tcPr>
          <w:p>
            <w:pPr>
              <w:pStyle w:val="6"/>
              <w:spacing w:before="149"/>
              <w:ind w:left="472"/>
              <w:rPr>
                <w:sz w:val="21"/>
              </w:rPr>
            </w:pPr>
            <w:r>
              <w:rPr>
                <w:sz w:val="21"/>
              </w:rPr>
              <w:t>本年制发件数</w:t>
            </w:r>
          </w:p>
        </w:tc>
        <w:tc>
          <w:tcPr>
            <w:tcW w:w="2206" w:type="dxa"/>
            <w:vAlign w:val="top"/>
          </w:tcPr>
          <w:p>
            <w:pPr>
              <w:pStyle w:val="6"/>
              <w:spacing w:before="149"/>
              <w:ind w:left="472"/>
              <w:rPr>
                <w:sz w:val="21"/>
              </w:rPr>
            </w:pPr>
            <w:r>
              <w:rPr>
                <w:sz w:val="21"/>
              </w:rPr>
              <w:t>本年废止件数</w:t>
            </w:r>
          </w:p>
        </w:tc>
        <w:tc>
          <w:tcPr>
            <w:tcW w:w="2206" w:type="dxa"/>
            <w:vAlign w:val="top"/>
          </w:tcPr>
          <w:p>
            <w:pPr>
              <w:pStyle w:val="6"/>
              <w:spacing w:before="149"/>
              <w:ind w:left="471"/>
              <w:rPr>
                <w:sz w:val="21"/>
              </w:rPr>
            </w:pPr>
            <w:r>
              <w:rPr>
                <w:sz w:val="21"/>
              </w:rPr>
              <w:t>现行有效件数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2206" w:type="dxa"/>
            <w:vAlign w:val="top"/>
          </w:tcPr>
          <w:p>
            <w:pPr>
              <w:pStyle w:val="6"/>
              <w:spacing w:before="147"/>
              <w:ind w:left="108"/>
              <w:rPr>
                <w:sz w:val="21"/>
              </w:rPr>
            </w:pPr>
            <w:r>
              <w:rPr>
                <w:sz w:val="21"/>
              </w:rPr>
              <w:t>规章</w:t>
            </w:r>
          </w:p>
        </w:tc>
        <w:tc>
          <w:tcPr>
            <w:tcW w:w="2206" w:type="dxa"/>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2206" w:type="dxa"/>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2206" w:type="dxa"/>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2206" w:type="dxa"/>
            <w:vAlign w:val="top"/>
          </w:tcPr>
          <w:p>
            <w:pPr>
              <w:pStyle w:val="6"/>
              <w:spacing w:before="149"/>
              <w:ind w:left="108"/>
              <w:rPr>
                <w:sz w:val="21"/>
              </w:rPr>
            </w:pPr>
            <w:r>
              <w:rPr>
                <w:sz w:val="21"/>
              </w:rPr>
              <w:t>行政规范性文件</w:t>
            </w:r>
          </w:p>
        </w:tc>
        <w:tc>
          <w:tcPr>
            <w:tcW w:w="2206" w:type="dxa"/>
            <w:vAlign w:val="center"/>
          </w:tcPr>
          <w:p>
            <w:pPr>
              <w:pStyle w:val="6"/>
              <w:jc w:val="center"/>
              <w:rPr>
                <w:rFonts w:ascii="Times New Roman"/>
                <w:sz w:val="22"/>
              </w:rPr>
            </w:pPr>
            <w:r>
              <w:rPr>
                <w:rFonts w:hint="eastAsia" w:ascii="Times New Roman"/>
                <w:sz w:val="22"/>
                <w:lang w:val="en-US" w:eastAsia="zh-CN"/>
              </w:rPr>
              <w:t>1</w:t>
            </w:r>
          </w:p>
        </w:tc>
        <w:tc>
          <w:tcPr>
            <w:tcW w:w="2206" w:type="dxa"/>
            <w:vAlign w:val="center"/>
          </w:tcPr>
          <w:p>
            <w:pPr>
              <w:pStyle w:val="6"/>
              <w:jc w:val="center"/>
              <w:rPr>
                <w:rFonts w:ascii="Times New Roman"/>
                <w:sz w:val="22"/>
              </w:rPr>
            </w:pPr>
            <w:r>
              <w:rPr>
                <w:rFonts w:hint="eastAsia" w:ascii="Times New Roman"/>
                <w:sz w:val="22"/>
                <w:lang w:val="en-US" w:eastAsia="zh-CN"/>
              </w:rPr>
              <w:t>0</w:t>
            </w:r>
          </w:p>
        </w:tc>
        <w:tc>
          <w:tcPr>
            <w:tcW w:w="2206" w:type="dxa"/>
            <w:vAlign w:val="center"/>
          </w:tcPr>
          <w:p>
            <w:pPr>
              <w:pStyle w:val="6"/>
              <w:jc w:val="center"/>
              <w:rPr>
                <w:rFonts w:ascii="Times New Roman"/>
                <w:sz w:val="22"/>
              </w:rPr>
            </w:pPr>
            <w:r>
              <w:rPr>
                <w:rFonts w:hint="eastAsia" w:ascii="Times New Roman"/>
                <w:sz w:val="22"/>
                <w:lang w:val="en-US" w:eastAsia="zh-CN"/>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8824" w:type="dxa"/>
            <w:gridSpan w:val="4"/>
            <w:shd w:val="clear" w:color="auto" w:fill="C5D9F0"/>
            <w:vAlign w:val="top"/>
          </w:tcPr>
          <w:p>
            <w:pPr>
              <w:pStyle w:val="6"/>
              <w:spacing w:before="147"/>
              <w:ind w:left="3445" w:right="3429"/>
              <w:jc w:val="center"/>
              <w:rPr>
                <w:rFonts w:hint="eastAsia" w:ascii="黑体" w:eastAsia="黑体"/>
                <w:sz w:val="21"/>
              </w:rPr>
            </w:pPr>
            <w:r>
              <w:rPr>
                <w:rFonts w:hint="eastAsia" w:ascii="黑体" w:eastAsia="黑体"/>
                <w:sz w:val="21"/>
              </w:rPr>
              <w:t>第二十条第（五）项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2206" w:type="dxa"/>
            <w:vAlign w:val="top"/>
          </w:tcPr>
          <w:p>
            <w:pPr>
              <w:pStyle w:val="6"/>
              <w:spacing w:before="148"/>
              <w:ind w:right="664"/>
              <w:jc w:val="right"/>
              <w:rPr>
                <w:sz w:val="21"/>
              </w:rPr>
            </w:pPr>
            <w:r>
              <w:rPr>
                <w:w w:val="95"/>
                <w:sz w:val="21"/>
              </w:rPr>
              <w:t>信息内容</w:t>
            </w:r>
          </w:p>
        </w:tc>
        <w:tc>
          <w:tcPr>
            <w:tcW w:w="6618" w:type="dxa"/>
            <w:gridSpan w:val="3"/>
            <w:vAlign w:val="top"/>
          </w:tcPr>
          <w:p>
            <w:pPr>
              <w:pStyle w:val="6"/>
              <w:spacing w:before="148"/>
              <w:ind w:left="2448" w:right="2430"/>
              <w:jc w:val="center"/>
              <w:rPr>
                <w:sz w:val="21"/>
              </w:rPr>
            </w:pPr>
            <w:r>
              <w:rPr>
                <w:sz w:val="21"/>
              </w:rPr>
              <w:t>本年处理决定数量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6" w:hRule="atLeast"/>
          <w:jc w:val="center"/>
        </w:trPr>
        <w:tc>
          <w:tcPr>
            <w:tcW w:w="2206" w:type="dxa"/>
            <w:vAlign w:val="top"/>
          </w:tcPr>
          <w:p>
            <w:pPr>
              <w:pStyle w:val="6"/>
              <w:spacing w:before="149"/>
              <w:ind w:left="108"/>
              <w:rPr>
                <w:sz w:val="21"/>
              </w:rPr>
            </w:pPr>
            <w:r>
              <w:rPr>
                <w:sz w:val="21"/>
              </w:rPr>
              <w:t>行政许可</w:t>
            </w:r>
          </w:p>
        </w:tc>
        <w:tc>
          <w:tcPr>
            <w:tcW w:w="6618" w:type="dxa"/>
            <w:gridSpan w:val="3"/>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6" w:hRule="atLeast"/>
          <w:jc w:val="center"/>
        </w:trPr>
        <w:tc>
          <w:tcPr>
            <w:tcW w:w="8824" w:type="dxa"/>
            <w:gridSpan w:val="4"/>
            <w:shd w:val="clear" w:color="auto" w:fill="C5D9F0"/>
            <w:vAlign w:val="top"/>
          </w:tcPr>
          <w:p>
            <w:pPr>
              <w:pStyle w:val="6"/>
              <w:spacing w:before="148"/>
              <w:ind w:left="3445" w:right="3429"/>
              <w:jc w:val="center"/>
              <w:rPr>
                <w:rFonts w:hint="eastAsia" w:ascii="黑体" w:eastAsia="黑体"/>
                <w:sz w:val="21"/>
              </w:rPr>
            </w:pPr>
            <w:r>
              <w:rPr>
                <w:rFonts w:hint="eastAsia" w:ascii="黑体" w:eastAsia="黑体"/>
                <w:sz w:val="21"/>
              </w:rPr>
              <w:t>第二十条第（六）项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2206" w:type="dxa"/>
            <w:vAlign w:val="top"/>
          </w:tcPr>
          <w:p>
            <w:pPr>
              <w:pStyle w:val="6"/>
              <w:spacing w:before="149"/>
              <w:ind w:right="664"/>
              <w:jc w:val="right"/>
              <w:rPr>
                <w:sz w:val="21"/>
              </w:rPr>
            </w:pPr>
            <w:r>
              <w:rPr>
                <w:w w:val="95"/>
                <w:sz w:val="21"/>
              </w:rPr>
              <w:t>信息内容</w:t>
            </w:r>
          </w:p>
        </w:tc>
        <w:tc>
          <w:tcPr>
            <w:tcW w:w="6618" w:type="dxa"/>
            <w:gridSpan w:val="3"/>
            <w:vAlign w:val="top"/>
          </w:tcPr>
          <w:p>
            <w:pPr>
              <w:pStyle w:val="6"/>
              <w:spacing w:before="149"/>
              <w:ind w:left="2448" w:right="2430"/>
              <w:jc w:val="center"/>
              <w:rPr>
                <w:sz w:val="21"/>
              </w:rPr>
            </w:pPr>
            <w:r>
              <w:rPr>
                <w:sz w:val="21"/>
              </w:rPr>
              <w:t>本年处理决定数量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2206" w:type="dxa"/>
            <w:vAlign w:val="top"/>
          </w:tcPr>
          <w:p>
            <w:pPr>
              <w:pStyle w:val="6"/>
              <w:spacing w:before="147"/>
              <w:ind w:left="108"/>
              <w:rPr>
                <w:sz w:val="21"/>
              </w:rPr>
            </w:pPr>
            <w:r>
              <w:rPr>
                <w:sz w:val="21"/>
              </w:rPr>
              <w:t>行政处罚</w:t>
            </w:r>
          </w:p>
        </w:tc>
        <w:tc>
          <w:tcPr>
            <w:tcW w:w="6618" w:type="dxa"/>
            <w:gridSpan w:val="3"/>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6" w:hRule="atLeast"/>
          <w:jc w:val="center"/>
        </w:trPr>
        <w:tc>
          <w:tcPr>
            <w:tcW w:w="2206" w:type="dxa"/>
            <w:vAlign w:val="top"/>
          </w:tcPr>
          <w:p>
            <w:pPr>
              <w:pStyle w:val="6"/>
              <w:spacing w:before="148"/>
              <w:ind w:left="108"/>
              <w:rPr>
                <w:sz w:val="21"/>
              </w:rPr>
            </w:pPr>
            <w:r>
              <w:rPr>
                <w:sz w:val="21"/>
              </w:rPr>
              <w:t>行政强制</w:t>
            </w:r>
          </w:p>
        </w:tc>
        <w:tc>
          <w:tcPr>
            <w:tcW w:w="6618" w:type="dxa"/>
            <w:gridSpan w:val="3"/>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8824" w:type="dxa"/>
            <w:gridSpan w:val="4"/>
            <w:shd w:val="clear" w:color="auto" w:fill="C5D9F0"/>
            <w:vAlign w:val="top"/>
          </w:tcPr>
          <w:p>
            <w:pPr>
              <w:pStyle w:val="6"/>
              <w:spacing w:before="147"/>
              <w:ind w:left="3445" w:right="3429"/>
              <w:jc w:val="center"/>
              <w:rPr>
                <w:rFonts w:hint="eastAsia" w:ascii="黑体" w:eastAsia="黑体"/>
                <w:sz w:val="21"/>
              </w:rPr>
            </w:pPr>
            <w:r>
              <w:rPr>
                <w:rFonts w:hint="eastAsia" w:ascii="黑体" w:eastAsia="黑体"/>
                <w:sz w:val="21"/>
              </w:rPr>
              <w:t>第二十条第（八）项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6" w:hRule="atLeast"/>
          <w:jc w:val="center"/>
        </w:trPr>
        <w:tc>
          <w:tcPr>
            <w:tcW w:w="2206" w:type="dxa"/>
            <w:vAlign w:val="top"/>
          </w:tcPr>
          <w:p>
            <w:pPr>
              <w:pStyle w:val="6"/>
              <w:spacing w:before="148"/>
              <w:ind w:right="664"/>
              <w:jc w:val="right"/>
              <w:rPr>
                <w:sz w:val="21"/>
              </w:rPr>
            </w:pPr>
            <w:r>
              <w:rPr>
                <w:w w:val="95"/>
                <w:sz w:val="21"/>
              </w:rPr>
              <w:t>信息内容</w:t>
            </w:r>
          </w:p>
        </w:tc>
        <w:tc>
          <w:tcPr>
            <w:tcW w:w="6618" w:type="dxa"/>
            <w:gridSpan w:val="3"/>
            <w:vAlign w:val="top"/>
          </w:tcPr>
          <w:p>
            <w:pPr>
              <w:pStyle w:val="6"/>
              <w:spacing w:before="148"/>
              <w:ind w:left="1943"/>
              <w:rPr>
                <w:sz w:val="21"/>
              </w:rPr>
            </w:pPr>
            <w:r>
              <w:rPr>
                <w:sz w:val="21"/>
              </w:rPr>
              <w:t>本年收费金额（单位：万元）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jc w:val="center"/>
        </w:trPr>
        <w:tc>
          <w:tcPr>
            <w:tcW w:w="2206" w:type="dxa"/>
            <w:vAlign w:val="top"/>
          </w:tcPr>
          <w:p>
            <w:pPr>
              <w:pStyle w:val="6"/>
              <w:spacing w:before="149"/>
              <w:ind w:left="108"/>
              <w:rPr>
                <w:sz w:val="21"/>
              </w:rPr>
            </w:pPr>
            <w:r>
              <w:rPr>
                <w:sz w:val="21"/>
              </w:rPr>
              <w:t>行政事业性收费</w:t>
            </w:r>
          </w:p>
        </w:tc>
        <w:tc>
          <w:tcPr>
            <w:tcW w:w="6618" w:type="dxa"/>
            <w:gridSpan w:val="3"/>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r>
    </w:tbl>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微软雅黑" w:hAnsi="微软雅黑" w:eastAsia="微软雅黑" w:cs="微软雅黑"/>
          <w:b/>
          <w:bCs/>
          <w:i w:val="0"/>
          <w:iCs w:val="0"/>
          <w:caps w:val="0"/>
          <w:color w:val="2E332D"/>
          <w:spacing w:val="0"/>
          <w:sz w:val="24"/>
          <w:szCs w:val="24"/>
          <w:shd w:val="clear" w:fill="FFFFFF"/>
        </w:rPr>
      </w:pPr>
      <w:r>
        <w:rPr>
          <w:rFonts w:hint="eastAsia" w:ascii="微软雅黑" w:hAnsi="微软雅黑" w:eastAsia="微软雅黑" w:cs="微软雅黑"/>
          <w:b/>
          <w:bCs/>
          <w:i w:val="0"/>
          <w:iCs w:val="0"/>
          <w:caps w:val="0"/>
          <w:color w:val="2E332D"/>
          <w:spacing w:val="0"/>
          <w:sz w:val="24"/>
          <w:szCs w:val="24"/>
          <w:shd w:val="clear" w:fill="FFFFFF"/>
          <w:lang w:eastAsia="zh-CN"/>
        </w:rPr>
        <w:t>三、</w:t>
      </w:r>
      <w:r>
        <w:rPr>
          <w:rFonts w:hint="eastAsia" w:ascii="微软雅黑" w:hAnsi="微软雅黑" w:eastAsia="微软雅黑" w:cs="微软雅黑"/>
          <w:b/>
          <w:bCs/>
          <w:i w:val="0"/>
          <w:iCs w:val="0"/>
          <w:caps w:val="0"/>
          <w:color w:val="2E332D"/>
          <w:spacing w:val="0"/>
          <w:sz w:val="24"/>
          <w:szCs w:val="24"/>
          <w:shd w:val="clear" w:fill="FFFFFF"/>
        </w:rPr>
        <w:t>收到和处理政府信息公开申请情况</w:t>
      </w:r>
    </w:p>
    <w:tbl>
      <w:tblPr>
        <w:tblStyle w:val="4"/>
        <w:tblW w:w="9913"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16"/>
        <w:gridCol w:w="1701"/>
        <w:gridCol w:w="2976"/>
        <w:gridCol w:w="829"/>
        <w:gridCol w:w="567"/>
        <w:gridCol w:w="567"/>
        <w:gridCol w:w="731"/>
        <w:gridCol w:w="708"/>
        <w:gridCol w:w="567"/>
        <w:gridCol w:w="85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3" w:hRule="atLeast"/>
          <w:jc w:val="center"/>
        </w:trPr>
        <w:tc>
          <w:tcPr>
            <w:tcW w:w="5093" w:type="dxa"/>
            <w:gridSpan w:val="3"/>
            <w:vMerge w:val="restart"/>
            <w:tcBorders>
              <w:bottom w:val="single" w:color="000000" w:sz="4" w:space="0"/>
              <w:right w:val="single" w:color="000000" w:sz="4" w:space="0"/>
            </w:tcBorders>
            <w:vAlign w:val="top"/>
          </w:tcPr>
          <w:p>
            <w:pPr>
              <w:pStyle w:val="6"/>
              <w:spacing w:before="1"/>
              <w:rPr>
                <w:rFonts w:ascii="方正小标宋简体"/>
                <w:sz w:val="27"/>
              </w:rPr>
            </w:pPr>
          </w:p>
          <w:p>
            <w:pPr>
              <w:pStyle w:val="6"/>
              <w:spacing w:line="278" w:lineRule="auto"/>
              <w:ind w:left="1286" w:right="222" w:hanging="1052"/>
              <w:rPr>
                <w:sz w:val="21"/>
              </w:rPr>
            </w:pPr>
            <w:r>
              <w:rPr>
                <w:w w:val="95"/>
                <w:sz w:val="21"/>
              </w:rPr>
              <w:t xml:space="preserve">（本列数据的勾稽关系为：第一项加第二项之和， </w:t>
            </w:r>
            <w:r>
              <w:rPr>
                <w:sz w:val="21"/>
              </w:rPr>
              <w:t>等于第三项加第四项之和）</w:t>
            </w:r>
          </w:p>
        </w:tc>
        <w:tc>
          <w:tcPr>
            <w:tcW w:w="4820" w:type="dxa"/>
            <w:gridSpan w:val="7"/>
            <w:tcBorders>
              <w:left w:val="single" w:color="000000" w:sz="4" w:space="0"/>
              <w:bottom w:val="single" w:color="000000" w:sz="4" w:space="0"/>
            </w:tcBorders>
            <w:vAlign w:val="top"/>
          </w:tcPr>
          <w:p>
            <w:pPr>
              <w:pStyle w:val="6"/>
              <w:spacing w:before="93"/>
              <w:ind w:left="1868" w:right="1847"/>
              <w:jc w:val="center"/>
              <w:rPr>
                <w:rFonts w:hint="eastAsia" w:ascii="黑体" w:eastAsia="黑体"/>
                <w:sz w:val="21"/>
              </w:rPr>
            </w:pPr>
            <w:r>
              <w:rPr>
                <w:rFonts w:hint="eastAsia" w:ascii="黑体" w:eastAsia="黑体"/>
                <w:sz w:val="21"/>
              </w:rPr>
              <w:t>申请人情况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jc w:val="center"/>
        </w:trPr>
        <w:tc>
          <w:tcPr>
            <w:tcW w:w="5093" w:type="dxa"/>
            <w:gridSpan w:val="3"/>
            <w:vMerge w:val="continue"/>
            <w:tcBorders>
              <w:top w:val="nil"/>
              <w:bottom w:val="single" w:color="000000" w:sz="4" w:space="0"/>
              <w:right w:val="single" w:color="000000" w:sz="4" w:space="0"/>
            </w:tcBorders>
            <w:vAlign w:val="top"/>
          </w:tcPr>
          <w:p>
            <w:pPr>
              <w:rPr>
                <w:sz w:val="2"/>
                <w:szCs w:val="2"/>
              </w:rPr>
            </w:pPr>
          </w:p>
        </w:tc>
        <w:tc>
          <w:tcPr>
            <w:tcW w:w="829" w:type="dxa"/>
            <w:vMerge w:val="restart"/>
            <w:tcBorders>
              <w:top w:val="single" w:color="000000" w:sz="4" w:space="0"/>
              <w:left w:val="single" w:color="000000" w:sz="4" w:space="0"/>
              <w:bottom w:val="single" w:color="000000" w:sz="4" w:space="0"/>
              <w:right w:val="single" w:color="000000" w:sz="4" w:space="0"/>
            </w:tcBorders>
            <w:vAlign w:val="top"/>
          </w:tcPr>
          <w:p>
            <w:pPr>
              <w:pStyle w:val="6"/>
              <w:spacing w:before="9"/>
              <w:rPr>
                <w:rFonts w:ascii="方正小标宋简体"/>
                <w:sz w:val="14"/>
              </w:rPr>
            </w:pPr>
          </w:p>
          <w:p>
            <w:pPr>
              <w:pStyle w:val="6"/>
              <w:spacing w:line="278" w:lineRule="auto"/>
              <w:ind w:left="314" w:right="190" w:hanging="106"/>
              <w:rPr>
                <w:rFonts w:hint="eastAsia" w:ascii="黑体" w:eastAsia="黑体"/>
                <w:sz w:val="21"/>
              </w:rPr>
            </w:pPr>
            <w:r>
              <w:rPr>
                <w:rFonts w:hint="eastAsia" w:ascii="黑体" w:eastAsia="黑体"/>
                <w:sz w:val="21"/>
              </w:rPr>
              <w:t>自然人</w:t>
            </w:r>
          </w:p>
        </w:tc>
        <w:tc>
          <w:tcPr>
            <w:tcW w:w="3140" w:type="dxa"/>
            <w:gridSpan w:val="5"/>
            <w:tcBorders>
              <w:top w:val="single" w:color="000000" w:sz="4" w:space="0"/>
              <w:left w:val="single" w:color="000000" w:sz="4" w:space="0"/>
              <w:bottom w:val="single" w:color="000000" w:sz="4" w:space="0"/>
              <w:right w:val="single" w:color="000000" w:sz="4" w:space="0"/>
            </w:tcBorders>
            <w:vAlign w:val="top"/>
          </w:tcPr>
          <w:p>
            <w:pPr>
              <w:pStyle w:val="6"/>
              <w:spacing w:before="97"/>
              <w:ind w:left="839"/>
              <w:rPr>
                <w:rFonts w:hint="eastAsia" w:ascii="黑体" w:eastAsia="黑体"/>
                <w:sz w:val="21"/>
              </w:rPr>
            </w:pPr>
            <w:r>
              <w:rPr>
                <w:rFonts w:hint="eastAsia" w:ascii="黑体" w:eastAsia="黑体"/>
                <w:sz w:val="21"/>
              </w:rPr>
              <w:t>法人或其他组织</w:t>
            </w:r>
          </w:p>
        </w:tc>
        <w:tc>
          <w:tcPr>
            <w:tcW w:w="851" w:type="dxa"/>
            <w:vMerge w:val="restart"/>
            <w:tcBorders>
              <w:top w:val="single" w:color="000000" w:sz="4" w:space="0"/>
              <w:left w:val="single" w:color="000000" w:sz="4" w:space="0"/>
              <w:bottom w:val="single" w:color="000000" w:sz="4" w:space="0"/>
            </w:tcBorders>
            <w:vAlign w:val="top"/>
          </w:tcPr>
          <w:p>
            <w:pPr>
              <w:pStyle w:val="6"/>
              <w:spacing w:before="12"/>
              <w:rPr>
                <w:rFonts w:ascii="方正小标宋简体"/>
                <w:sz w:val="23"/>
              </w:rPr>
            </w:pPr>
          </w:p>
          <w:p>
            <w:pPr>
              <w:pStyle w:val="6"/>
              <w:ind w:left="219"/>
              <w:rPr>
                <w:rFonts w:hint="eastAsia" w:ascii="黑体" w:eastAsia="黑体"/>
                <w:sz w:val="21"/>
              </w:rPr>
            </w:pPr>
            <w:r>
              <w:rPr>
                <w:rFonts w:hint="eastAsia" w:ascii="黑体" w:eastAsia="黑体"/>
                <w:sz w:val="21"/>
              </w:rPr>
              <w:t>总计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40" w:hRule="atLeast"/>
          <w:jc w:val="center"/>
        </w:trPr>
        <w:tc>
          <w:tcPr>
            <w:tcW w:w="5093" w:type="dxa"/>
            <w:gridSpan w:val="3"/>
            <w:vMerge w:val="continue"/>
            <w:tcBorders>
              <w:top w:val="nil"/>
              <w:bottom w:val="single" w:color="000000" w:sz="4" w:space="0"/>
              <w:right w:val="single" w:color="000000" w:sz="4" w:space="0"/>
            </w:tcBorders>
            <w:vAlign w:val="top"/>
          </w:tcPr>
          <w:p>
            <w:pPr>
              <w:rPr>
                <w:sz w:val="2"/>
                <w:szCs w:val="2"/>
              </w:rPr>
            </w:pPr>
          </w:p>
        </w:tc>
        <w:tc>
          <w:tcPr>
            <w:tcW w:w="829"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567" w:type="dxa"/>
            <w:tcBorders>
              <w:top w:val="single" w:color="000000" w:sz="4" w:space="0"/>
              <w:left w:val="single" w:color="000000" w:sz="4" w:space="0"/>
              <w:bottom w:val="single" w:color="000000" w:sz="4" w:space="0"/>
              <w:right w:val="single" w:color="000000" w:sz="4" w:space="0"/>
            </w:tcBorders>
            <w:vAlign w:val="top"/>
          </w:tcPr>
          <w:p>
            <w:pPr>
              <w:pStyle w:val="6"/>
              <w:spacing w:line="320" w:lineRule="exact"/>
              <w:ind w:left="78" w:right="58"/>
              <w:rPr>
                <w:rFonts w:hint="eastAsia" w:ascii="黑体" w:eastAsia="黑体"/>
                <w:sz w:val="21"/>
              </w:rPr>
            </w:pPr>
            <w:r>
              <w:rPr>
                <w:rFonts w:hint="eastAsia" w:ascii="黑体" w:eastAsia="黑体"/>
                <w:sz w:val="21"/>
              </w:rPr>
              <w:t>商业企业</w:t>
            </w:r>
          </w:p>
        </w:tc>
        <w:tc>
          <w:tcPr>
            <w:tcW w:w="567" w:type="dxa"/>
            <w:tcBorders>
              <w:top w:val="single" w:color="000000" w:sz="4" w:space="0"/>
              <w:left w:val="single" w:color="000000" w:sz="4" w:space="0"/>
              <w:bottom w:val="single" w:color="000000" w:sz="4" w:space="0"/>
              <w:right w:val="single" w:color="000000" w:sz="4" w:space="0"/>
            </w:tcBorders>
            <w:vAlign w:val="top"/>
          </w:tcPr>
          <w:p>
            <w:pPr>
              <w:pStyle w:val="6"/>
              <w:spacing w:line="320" w:lineRule="exact"/>
              <w:ind w:left="77" w:right="59"/>
              <w:rPr>
                <w:rFonts w:hint="eastAsia" w:ascii="黑体" w:eastAsia="黑体"/>
                <w:sz w:val="21"/>
              </w:rPr>
            </w:pPr>
            <w:r>
              <w:rPr>
                <w:rFonts w:hint="eastAsia" w:ascii="黑体" w:eastAsia="黑体"/>
                <w:sz w:val="21"/>
              </w:rPr>
              <w:t>科研机构</w:t>
            </w:r>
          </w:p>
        </w:tc>
        <w:tc>
          <w:tcPr>
            <w:tcW w:w="731" w:type="dxa"/>
            <w:tcBorders>
              <w:top w:val="single" w:color="000000" w:sz="4" w:space="0"/>
              <w:left w:val="single" w:color="000000" w:sz="4" w:space="0"/>
              <w:bottom w:val="single" w:color="000000" w:sz="4" w:space="0"/>
              <w:right w:val="single" w:color="000000" w:sz="4" w:space="0"/>
            </w:tcBorders>
            <w:vAlign w:val="top"/>
          </w:tcPr>
          <w:p>
            <w:pPr>
              <w:pStyle w:val="6"/>
              <w:spacing w:line="320" w:lineRule="exact"/>
              <w:ind w:left="55" w:right="34"/>
              <w:rPr>
                <w:rFonts w:hint="eastAsia" w:ascii="黑体" w:eastAsia="黑体"/>
                <w:sz w:val="21"/>
              </w:rPr>
            </w:pPr>
            <w:r>
              <w:rPr>
                <w:rFonts w:hint="eastAsia" w:ascii="黑体" w:eastAsia="黑体"/>
                <w:sz w:val="21"/>
              </w:rPr>
              <w:t>社会公益组织</w:t>
            </w:r>
          </w:p>
        </w:tc>
        <w:tc>
          <w:tcPr>
            <w:tcW w:w="708" w:type="dxa"/>
            <w:tcBorders>
              <w:top w:val="single" w:color="000000" w:sz="4" w:space="0"/>
              <w:left w:val="single" w:color="000000" w:sz="4" w:space="0"/>
              <w:bottom w:val="single" w:color="000000" w:sz="4" w:space="0"/>
              <w:right w:val="single" w:color="000000" w:sz="4" w:space="0"/>
            </w:tcBorders>
            <w:vAlign w:val="top"/>
          </w:tcPr>
          <w:p>
            <w:pPr>
              <w:pStyle w:val="6"/>
              <w:spacing w:line="320" w:lineRule="exact"/>
              <w:ind w:left="44" w:right="22"/>
              <w:rPr>
                <w:rFonts w:hint="eastAsia" w:ascii="黑体" w:eastAsia="黑体"/>
                <w:sz w:val="21"/>
              </w:rPr>
            </w:pPr>
            <w:r>
              <w:rPr>
                <w:rFonts w:hint="eastAsia" w:ascii="黑体" w:eastAsia="黑体"/>
                <w:sz w:val="21"/>
              </w:rPr>
              <w:t>法律服务机构</w:t>
            </w:r>
          </w:p>
        </w:tc>
        <w:tc>
          <w:tcPr>
            <w:tcW w:w="567" w:type="dxa"/>
            <w:tcBorders>
              <w:top w:val="single" w:color="000000" w:sz="4" w:space="0"/>
              <w:left w:val="single" w:color="000000" w:sz="4" w:space="0"/>
              <w:bottom w:val="single" w:color="000000" w:sz="4" w:space="0"/>
              <w:right w:val="single" w:color="000000" w:sz="4" w:space="0"/>
            </w:tcBorders>
            <w:vAlign w:val="top"/>
          </w:tcPr>
          <w:p>
            <w:pPr>
              <w:pStyle w:val="6"/>
              <w:spacing w:before="15"/>
              <w:rPr>
                <w:rFonts w:ascii="方正小标宋简体"/>
                <w:sz w:val="12"/>
              </w:rPr>
            </w:pPr>
          </w:p>
          <w:p>
            <w:pPr>
              <w:pStyle w:val="6"/>
              <w:spacing w:before="1"/>
              <w:ind w:left="114"/>
              <w:rPr>
                <w:rFonts w:hint="eastAsia" w:ascii="黑体" w:eastAsia="黑体"/>
                <w:sz w:val="21"/>
              </w:rPr>
            </w:pPr>
            <w:r>
              <w:rPr>
                <w:rFonts w:hint="eastAsia" w:ascii="黑体" w:eastAsia="黑体"/>
                <w:sz w:val="21"/>
              </w:rPr>
              <w:t>其他</w:t>
            </w:r>
          </w:p>
        </w:tc>
        <w:tc>
          <w:tcPr>
            <w:tcW w:w="851" w:type="dxa"/>
            <w:vMerge w:val="continue"/>
            <w:tcBorders>
              <w:top w:val="nil"/>
              <w:left w:val="single" w:color="000000" w:sz="4" w:space="0"/>
              <w:bottom w:val="single" w:color="000000" w:sz="4" w:space="0"/>
            </w:tcBorders>
            <w:vAlign w:val="top"/>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1" w:hRule="atLeast"/>
          <w:jc w:val="center"/>
        </w:trPr>
        <w:tc>
          <w:tcPr>
            <w:tcW w:w="5093" w:type="dxa"/>
            <w:gridSpan w:val="3"/>
            <w:tcBorders>
              <w:top w:val="single" w:color="000000" w:sz="4" w:space="0"/>
              <w:bottom w:val="single" w:color="000000" w:sz="4" w:space="0"/>
              <w:right w:val="single" w:color="000000" w:sz="4" w:space="0"/>
            </w:tcBorders>
            <w:vAlign w:val="top"/>
          </w:tcPr>
          <w:p>
            <w:pPr>
              <w:pStyle w:val="6"/>
              <w:spacing w:before="111"/>
              <w:ind w:left="108"/>
              <w:rPr>
                <w:rFonts w:hint="eastAsia" w:ascii="黑体" w:eastAsia="黑体"/>
                <w:sz w:val="21"/>
              </w:rPr>
            </w:pPr>
            <w:r>
              <w:rPr>
                <w:rFonts w:hint="eastAsia" w:ascii="黑体" w:eastAsia="黑体"/>
                <w:sz w:val="21"/>
              </w:rPr>
              <w:t>一、本年新收政府信息公开申请数量</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hint="eastAsia" w:ascii="Times New Roman" w:eastAsia="宋体"/>
                <w:sz w:val="22"/>
                <w:lang w:val="en-US" w:eastAsia="zh-CN"/>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2" w:hRule="atLeast"/>
          <w:jc w:val="center"/>
        </w:trPr>
        <w:tc>
          <w:tcPr>
            <w:tcW w:w="5093" w:type="dxa"/>
            <w:gridSpan w:val="3"/>
            <w:tcBorders>
              <w:top w:val="single" w:color="000000" w:sz="4" w:space="0"/>
              <w:bottom w:val="single" w:color="000000" w:sz="4" w:space="0"/>
              <w:right w:val="single" w:color="000000" w:sz="4" w:space="0"/>
            </w:tcBorders>
            <w:vAlign w:val="top"/>
          </w:tcPr>
          <w:p>
            <w:pPr>
              <w:pStyle w:val="6"/>
              <w:spacing w:before="111"/>
              <w:ind w:left="108"/>
              <w:rPr>
                <w:rFonts w:hint="eastAsia" w:ascii="黑体" w:eastAsia="黑体"/>
                <w:sz w:val="21"/>
              </w:rPr>
            </w:pPr>
            <w:r>
              <w:rPr>
                <w:rFonts w:hint="eastAsia" w:ascii="黑体" w:eastAsia="黑体"/>
                <w:sz w:val="21"/>
              </w:rPr>
              <w:t>二、上年结转政府信息公开申请数量</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6" w:hRule="atLeast"/>
          <w:jc w:val="center"/>
        </w:trPr>
        <w:tc>
          <w:tcPr>
            <w:tcW w:w="416" w:type="dxa"/>
            <w:vMerge w:val="restart"/>
            <w:tcBorders>
              <w:top w:val="single" w:color="000000" w:sz="4" w:space="0"/>
              <w:right w:val="single" w:color="000000" w:sz="4" w:space="0"/>
            </w:tcBorders>
            <w:vAlign w:val="top"/>
          </w:tcPr>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spacing w:before="15"/>
              <w:rPr>
                <w:rFonts w:ascii="方正小标宋简体"/>
                <w:sz w:val="21"/>
              </w:rPr>
            </w:pPr>
          </w:p>
          <w:p>
            <w:pPr>
              <w:pStyle w:val="6"/>
              <w:ind w:left="108"/>
              <w:rPr>
                <w:rFonts w:hint="eastAsia" w:ascii="黑体" w:eastAsia="黑体"/>
                <w:sz w:val="21"/>
              </w:rPr>
            </w:pPr>
            <w:r>
              <w:rPr>
                <w:rFonts w:hint="eastAsia" w:ascii="黑体" w:eastAsia="黑体"/>
                <w:w w:val="99"/>
                <w:sz w:val="21"/>
              </w:rPr>
              <w:t>三</w:t>
            </w:r>
          </w:p>
          <w:p>
            <w:pPr>
              <w:pStyle w:val="6"/>
              <w:spacing w:before="43" w:line="278" w:lineRule="auto"/>
              <w:ind w:left="108" w:right="81"/>
              <w:jc w:val="both"/>
              <w:rPr>
                <w:rFonts w:hint="eastAsia" w:ascii="黑体" w:eastAsia="黑体"/>
                <w:sz w:val="21"/>
              </w:rPr>
            </w:pPr>
            <w:r>
              <w:rPr>
                <w:rFonts w:hint="eastAsia" w:ascii="黑体" w:eastAsia="黑体"/>
                <w:sz w:val="21"/>
              </w:rPr>
              <w:t>、本年度办理结果</w:t>
            </w:r>
          </w:p>
        </w:tc>
        <w:tc>
          <w:tcPr>
            <w:tcW w:w="4677" w:type="dxa"/>
            <w:gridSpan w:val="2"/>
            <w:tcBorders>
              <w:top w:val="single" w:color="000000" w:sz="4" w:space="0"/>
              <w:left w:val="single" w:color="000000" w:sz="4" w:space="0"/>
              <w:bottom w:val="single" w:color="000000" w:sz="4" w:space="0"/>
              <w:right w:val="single" w:color="000000" w:sz="4" w:space="0"/>
            </w:tcBorders>
            <w:vAlign w:val="top"/>
          </w:tcPr>
          <w:p>
            <w:pPr>
              <w:pStyle w:val="6"/>
              <w:spacing w:before="110"/>
              <w:ind w:left="112"/>
              <w:rPr>
                <w:rFonts w:hint="eastAsia" w:ascii="黑体" w:eastAsia="黑体"/>
                <w:sz w:val="21"/>
              </w:rPr>
            </w:pPr>
            <w:r>
              <w:rPr>
                <w:rFonts w:hint="eastAsia" w:ascii="黑体" w:eastAsia="黑体"/>
                <w:sz w:val="21"/>
              </w:rPr>
              <w:t>（一）予以公开</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13" w:hRule="atLeast"/>
          <w:jc w:val="center"/>
        </w:trPr>
        <w:tc>
          <w:tcPr>
            <w:tcW w:w="416" w:type="dxa"/>
            <w:vMerge w:val="continue"/>
            <w:tcBorders>
              <w:top w:val="nil"/>
              <w:right w:val="single" w:color="000000" w:sz="4" w:space="0"/>
            </w:tcBorders>
            <w:vAlign w:val="top"/>
          </w:tcPr>
          <w:p>
            <w:pPr>
              <w:rPr>
                <w:sz w:val="2"/>
                <w:szCs w:val="2"/>
              </w:rPr>
            </w:pPr>
          </w:p>
        </w:tc>
        <w:tc>
          <w:tcPr>
            <w:tcW w:w="4677" w:type="dxa"/>
            <w:gridSpan w:val="2"/>
            <w:tcBorders>
              <w:top w:val="single" w:color="000000" w:sz="4" w:space="0"/>
              <w:left w:val="single" w:color="000000" w:sz="4" w:space="0"/>
              <w:bottom w:val="single" w:color="000000" w:sz="4" w:space="0"/>
              <w:right w:val="single" w:color="000000" w:sz="4" w:space="0"/>
            </w:tcBorders>
            <w:vAlign w:val="top"/>
          </w:tcPr>
          <w:p>
            <w:pPr>
              <w:pStyle w:val="6"/>
              <w:spacing w:before="16"/>
              <w:ind w:left="112"/>
              <w:rPr>
                <w:rFonts w:hint="eastAsia" w:ascii="黑体" w:eastAsia="黑体"/>
                <w:sz w:val="21"/>
              </w:rPr>
            </w:pPr>
            <w:r>
              <w:rPr>
                <w:rFonts w:hint="eastAsia" w:ascii="黑体" w:eastAsia="黑体"/>
                <w:sz w:val="21"/>
              </w:rPr>
              <w:t>（二）部分公开（区分处理的，只计这一情形，</w:t>
            </w:r>
          </w:p>
          <w:p>
            <w:pPr>
              <w:pStyle w:val="6"/>
              <w:spacing w:before="43" w:line="266" w:lineRule="exact"/>
              <w:ind w:left="112"/>
              <w:rPr>
                <w:rFonts w:hint="eastAsia" w:ascii="黑体" w:eastAsia="黑体"/>
                <w:sz w:val="21"/>
              </w:rPr>
            </w:pPr>
            <w:r>
              <w:rPr>
                <w:rFonts w:hint="eastAsia" w:ascii="黑体" w:eastAsia="黑体"/>
                <w:sz w:val="21"/>
              </w:rPr>
              <w:t>不计其他情形）</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4"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restart"/>
            <w:tcBorders>
              <w:top w:val="single" w:color="000000" w:sz="4" w:space="0"/>
              <w:left w:val="single" w:color="000000" w:sz="4" w:space="0"/>
              <w:bottom w:val="single" w:color="000000" w:sz="4" w:space="0"/>
              <w:right w:val="single" w:color="000000" w:sz="4" w:space="0"/>
            </w:tcBorders>
            <w:vAlign w:val="top"/>
          </w:tcPr>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rPr>
                <w:rFonts w:ascii="方正小标宋简体"/>
                <w:sz w:val="20"/>
              </w:rPr>
            </w:pPr>
          </w:p>
          <w:p>
            <w:pPr>
              <w:pStyle w:val="6"/>
              <w:spacing w:before="14"/>
              <w:rPr>
                <w:rFonts w:ascii="方正小标宋简体"/>
                <w:sz w:val="17"/>
              </w:rPr>
            </w:pPr>
          </w:p>
          <w:p>
            <w:pPr>
              <w:pStyle w:val="6"/>
              <w:ind w:left="4"/>
              <w:rPr>
                <w:rFonts w:hint="eastAsia" w:ascii="黑体" w:eastAsia="黑体"/>
                <w:sz w:val="21"/>
              </w:rPr>
            </w:pPr>
            <w:r>
              <w:rPr>
                <w:rFonts w:hint="eastAsia" w:ascii="黑体" w:eastAsia="黑体"/>
                <w:sz w:val="21"/>
              </w:rPr>
              <w:t>（三）不予公开</w:t>
            </w: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6"/>
              <w:ind w:left="113"/>
              <w:rPr>
                <w:sz w:val="21"/>
              </w:rPr>
            </w:pPr>
            <w:r>
              <w:rPr>
                <w:sz w:val="21"/>
              </w:rPr>
              <w:t>1.属于国家秘密</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8"/>
              <w:ind w:left="113"/>
              <w:rPr>
                <w:sz w:val="21"/>
              </w:rPr>
            </w:pPr>
            <w:r>
              <w:rPr>
                <w:sz w:val="21"/>
              </w:rPr>
              <w:t>2.其他法律行政法规禁止公开</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8"/>
              <w:ind w:left="113"/>
              <w:rPr>
                <w:sz w:val="21"/>
              </w:rPr>
            </w:pPr>
            <w:r>
              <w:rPr>
                <w:sz w:val="21"/>
              </w:rPr>
              <w:t>3.危及“三安全一稳定”</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7"/>
              <w:ind w:left="113"/>
              <w:rPr>
                <w:sz w:val="21"/>
              </w:rPr>
            </w:pPr>
            <w:r>
              <w:rPr>
                <w:sz w:val="21"/>
              </w:rPr>
              <w:t>4.保护第三方合法权益</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7"/>
              <w:ind w:left="113"/>
              <w:rPr>
                <w:sz w:val="21"/>
              </w:rPr>
            </w:pPr>
            <w:r>
              <w:rPr>
                <w:sz w:val="21"/>
              </w:rPr>
              <w:t>5.属于三类内部事务信息</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4"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6"/>
              <w:ind w:left="113"/>
              <w:rPr>
                <w:sz w:val="21"/>
              </w:rPr>
            </w:pPr>
            <w:r>
              <w:rPr>
                <w:sz w:val="21"/>
              </w:rPr>
              <w:t>6.属于四类过程性信息</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6"/>
              <w:ind w:left="113"/>
              <w:rPr>
                <w:sz w:val="21"/>
              </w:rPr>
            </w:pPr>
            <w:r>
              <w:rPr>
                <w:sz w:val="21"/>
              </w:rPr>
              <w:t>7.属于行政执法案卷</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4"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8"/>
              <w:ind w:left="113"/>
              <w:rPr>
                <w:sz w:val="21"/>
              </w:rPr>
            </w:pPr>
            <w:r>
              <w:rPr>
                <w:sz w:val="21"/>
              </w:rPr>
              <w:t>8.属于行政查询事项</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restart"/>
            <w:tcBorders>
              <w:top w:val="single" w:color="000000" w:sz="4" w:space="0"/>
              <w:left w:val="single" w:color="000000" w:sz="4" w:space="0"/>
              <w:bottom w:val="single" w:color="000000" w:sz="4" w:space="0"/>
              <w:right w:val="single" w:color="000000" w:sz="4" w:space="0"/>
            </w:tcBorders>
            <w:vAlign w:val="top"/>
          </w:tcPr>
          <w:p>
            <w:pPr>
              <w:pStyle w:val="6"/>
              <w:rPr>
                <w:rFonts w:ascii="方正小标宋简体"/>
                <w:sz w:val="20"/>
              </w:rPr>
            </w:pPr>
          </w:p>
          <w:p>
            <w:pPr>
              <w:pStyle w:val="6"/>
              <w:spacing w:before="13"/>
              <w:rPr>
                <w:rFonts w:ascii="方正小标宋简体"/>
                <w:sz w:val="10"/>
              </w:rPr>
            </w:pPr>
          </w:p>
          <w:p>
            <w:pPr>
              <w:pStyle w:val="6"/>
              <w:spacing w:before="1"/>
              <w:ind w:left="4"/>
              <w:rPr>
                <w:rFonts w:hint="eastAsia" w:ascii="黑体" w:eastAsia="黑体"/>
                <w:sz w:val="21"/>
              </w:rPr>
            </w:pPr>
            <w:r>
              <w:rPr>
                <w:rFonts w:hint="eastAsia" w:ascii="黑体" w:eastAsia="黑体"/>
                <w:sz w:val="21"/>
              </w:rPr>
              <w:t>（四）无法提供</w:t>
            </w: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7"/>
              <w:ind w:left="113"/>
              <w:rPr>
                <w:sz w:val="21"/>
              </w:rPr>
            </w:pPr>
            <w:r>
              <w:rPr>
                <w:sz w:val="21"/>
              </w:rPr>
              <w:t>1.本机关不掌握相关政府信息</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4"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7"/>
              <w:ind w:left="113"/>
              <w:rPr>
                <w:sz w:val="21"/>
              </w:rPr>
            </w:pPr>
            <w:r>
              <w:rPr>
                <w:sz w:val="21"/>
              </w:rPr>
              <w:t>2.没有现成信息需要另行制作</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7"/>
              <w:ind w:left="113"/>
              <w:rPr>
                <w:sz w:val="21"/>
              </w:rPr>
            </w:pPr>
            <w:r>
              <w:rPr>
                <w:sz w:val="21"/>
              </w:rPr>
              <w:t>3.补正后申请内容仍不明确</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4"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restart"/>
            <w:tcBorders>
              <w:top w:val="single" w:color="000000" w:sz="4" w:space="0"/>
              <w:left w:val="single" w:color="000000" w:sz="4" w:space="0"/>
              <w:bottom w:val="single" w:color="000000" w:sz="4" w:space="0"/>
              <w:right w:val="single" w:color="000000" w:sz="4" w:space="0"/>
            </w:tcBorders>
            <w:vAlign w:val="top"/>
          </w:tcPr>
          <w:p>
            <w:pPr>
              <w:pStyle w:val="6"/>
              <w:rPr>
                <w:rFonts w:ascii="方正小标宋简体"/>
                <w:sz w:val="20"/>
              </w:rPr>
            </w:pPr>
          </w:p>
          <w:p>
            <w:pPr>
              <w:pStyle w:val="6"/>
              <w:rPr>
                <w:rFonts w:ascii="方正小标宋简体"/>
                <w:sz w:val="20"/>
              </w:rPr>
            </w:pPr>
          </w:p>
          <w:p>
            <w:pPr>
              <w:pStyle w:val="6"/>
              <w:spacing w:before="9"/>
              <w:rPr>
                <w:rFonts w:ascii="方正小标宋简体"/>
                <w:sz w:val="20"/>
              </w:rPr>
            </w:pPr>
          </w:p>
          <w:p>
            <w:pPr>
              <w:pStyle w:val="6"/>
              <w:ind w:left="4"/>
              <w:rPr>
                <w:rFonts w:hint="eastAsia" w:ascii="黑体" w:eastAsia="黑体"/>
                <w:sz w:val="21"/>
              </w:rPr>
            </w:pPr>
            <w:r>
              <w:rPr>
                <w:rFonts w:hint="eastAsia" w:ascii="黑体" w:eastAsia="黑体"/>
                <w:sz w:val="21"/>
              </w:rPr>
              <w:t>（五）不予处理</w:t>
            </w: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6"/>
              <w:ind w:left="113"/>
              <w:rPr>
                <w:sz w:val="21"/>
              </w:rPr>
            </w:pPr>
            <w:r>
              <w:rPr>
                <w:sz w:val="21"/>
              </w:rPr>
              <w:t>1.信访举报投诉类申请</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4"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6"/>
              <w:ind w:left="113"/>
              <w:rPr>
                <w:sz w:val="21"/>
              </w:rPr>
            </w:pPr>
            <w:r>
              <w:rPr>
                <w:sz w:val="21"/>
              </w:rPr>
              <w:t>2.重复申请</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68"/>
              <w:ind w:left="113"/>
              <w:rPr>
                <w:sz w:val="21"/>
              </w:rPr>
            </w:pPr>
            <w:r>
              <w:rPr>
                <w:sz w:val="21"/>
              </w:rPr>
              <w:t>3.要求提供公开出版物</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7"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39"/>
              <w:ind w:left="113"/>
              <w:rPr>
                <w:sz w:val="21"/>
              </w:rPr>
            </w:pPr>
            <w:r>
              <w:rPr>
                <w:sz w:val="21"/>
              </w:rPr>
              <w:t>4.无正当理由大量反复申请</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0"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continue"/>
            <w:tcBorders>
              <w:top w:val="nil"/>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spacing w:before="26"/>
              <w:ind w:left="113"/>
              <w:rPr>
                <w:sz w:val="21"/>
              </w:rPr>
            </w:pPr>
            <w:r>
              <w:rPr>
                <w:sz w:val="21"/>
              </w:rPr>
              <w:t>5.要求行政机关确认或重新</w:t>
            </w:r>
          </w:p>
          <w:p>
            <w:pPr>
              <w:pStyle w:val="6"/>
              <w:spacing w:before="31" w:line="244" w:lineRule="exact"/>
              <w:ind w:left="321"/>
              <w:rPr>
                <w:sz w:val="21"/>
              </w:rPr>
            </w:pPr>
            <w:r>
              <w:rPr>
                <w:sz w:val="21"/>
              </w:rPr>
              <w:t>出具已获取信息</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2" w:hRule="atLeast"/>
          <w:jc w:val="center"/>
        </w:trPr>
        <w:tc>
          <w:tcPr>
            <w:tcW w:w="416" w:type="dxa"/>
            <w:vMerge w:val="continue"/>
            <w:tcBorders>
              <w:top w:val="nil"/>
              <w:right w:val="single" w:color="000000" w:sz="4" w:space="0"/>
            </w:tcBorders>
            <w:vAlign w:val="top"/>
          </w:tcPr>
          <w:p>
            <w:pPr>
              <w:rPr>
                <w:sz w:val="2"/>
                <w:szCs w:val="2"/>
              </w:rPr>
            </w:pPr>
          </w:p>
        </w:tc>
        <w:tc>
          <w:tcPr>
            <w:tcW w:w="1701" w:type="dxa"/>
            <w:vMerge w:val="restart"/>
            <w:tcBorders>
              <w:top w:val="single" w:color="000000" w:sz="4" w:space="0"/>
              <w:left w:val="single" w:color="000000" w:sz="4" w:space="0"/>
              <w:right w:val="single" w:color="000000" w:sz="4" w:space="0"/>
            </w:tcBorders>
            <w:vAlign w:val="center"/>
          </w:tcPr>
          <w:p>
            <w:pPr>
              <w:pStyle w:val="6"/>
              <w:spacing w:before="174"/>
              <w:ind w:left="112"/>
              <w:jc w:val="left"/>
              <w:rPr>
                <w:rFonts w:hint="eastAsia" w:ascii="黑体" w:eastAsia="黑体"/>
                <w:sz w:val="21"/>
              </w:rPr>
            </w:pPr>
            <w:r>
              <w:rPr>
                <w:rFonts w:hint="eastAsia" w:ascii="黑体" w:eastAsia="黑体"/>
                <w:sz w:val="21"/>
                <w:lang w:val="en-US" w:eastAsia="zh-CN"/>
              </w:rPr>
              <w:t>(</w:t>
            </w:r>
            <w:r>
              <w:rPr>
                <w:rFonts w:hint="eastAsia" w:ascii="黑体" w:eastAsia="黑体"/>
                <w:sz w:val="21"/>
              </w:rPr>
              <w:t>六）其他处理</w:t>
            </w:r>
          </w:p>
        </w:tc>
        <w:tc>
          <w:tcPr>
            <w:tcW w:w="2976" w:type="dxa"/>
            <w:vMerge w:val="restart"/>
            <w:tcBorders>
              <w:top w:val="single" w:color="000000" w:sz="4" w:space="0"/>
              <w:left w:val="single" w:color="000000" w:sz="4" w:space="0"/>
              <w:right w:val="single" w:color="000000" w:sz="4" w:space="0"/>
            </w:tcBorders>
            <w:vAlign w:val="top"/>
          </w:tcPr>
          <w:p>
            <w:pPr>
              <w:pStyle w:val="6"/>
              <w:keepNext w:val="0"/>
              <w:keepLines w:val="0"/>
              <w:pageBreakBefore w:val="0"/>
              <w:widowControl w:val="0"/>
              <w:kinsoku/>
              <w:wordWrap/>
              <w:overflowPunct/>
              <w:topLinePunct w:val="0"/>
              <w:autoSpaceDE/>
              <w:autoSpaceDN/>
              <w:bidi w:val="0"/>
              <w:adjustRightInd/>
              <w:snapToGrid/>
              <w:spacing w:before="31" w:line="240" w:lineRule="auto"/>
              <w:ind w:left="113" w:leftChars="0" w:right="-17"/>
              <w:textAlignment w:val="auto"/>
              <w:rPr>
                <w:rFonts w:hint="eastAsia"/>
                <w:sz w:val="21"/>
                <w:lang w:val="en-US" w:eastAsia="zh-CN"/>
              </w:rPr>
            </w:pPr>
            <w:r>
              <w:rPr>
                <w:rFonts w:hint="eastAsia"/>
                <w:sz w:val="21"/>
                <w:lang w:val="en-US" w:eastAsia="zh-CN"/>
              </w:rPr>
              <w:t>1.</w:t>
            </w:r>
            <w:r>
              <w:rPr>
                <w:sz w:val="21"/>
              </w:rPr>
              <w:t>申请人无正当理由逾期不补正、行政机关不再处理其政府信</w:t>
            </w:r>
          </w:p>
          <w:p>
            <w:pPr>
              <w:pStyle w:val="6"/>
              <w:keepNext w:val="0"/>
              <w:keepLines w:val="0"/>
              <w:pageBreakBefore w:val="0"/>
              <w:widowControl w:val="0"/>
              <w:kinsoku/>
              <w:wordWrap/>
              <w:overflowPunct/>
              <w:topLinePunct w:val="0"/>
              <w:autoSpaceDE/>
              <w:autoSpaceDN/>
              <w:bidi w:val="0"/>
              <w:adjustRightInd/>
              <w:snapToGrid/>
              <w:spacing w:before="21" w:line="240" w:lineRule="auto"/>
              <w:ind w:left="113"/>
              <w:textAlignment w:val="auto"/>
              <w:rPr>
                <w:sz w:val="21"/>
              </w:rPr>
            </w:pPr>
            <w:r>
              <w:rPr>
                <w:sz w:val="21"/>
              </w:rPr>
              <w:t>息公开申请</w:t>
            </w:r>
          </w:p>
        </w:tc>
        <w:tc>
          <w:tcPr>
            <w:tcW w:w="829" w:type="dxa"/>
            <w:vMerge w:val="restart"/>
            <w:tcBorders>
              <w:top w:val="single" w:color="000000" w:sz="4" w:space="0"/>
              <w:left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vMerge w:val="restart"/>
            <w:tcBorders>
              <w:top w:val="single" w:color="000000" w:sz="4" w:space="0"/>
              <w:left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vMerge w:val="restart"/>
            <w:tcBorders>
              <w:top w:val="single" w:color="000000" w:sz="4" w:space="0"/>
              <w:left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31" w:type="dxa"/>
            <w:vMerge w:val="restart"/>
            <w:tcBorders>
              <w:top w:val="single" w:color="000000" w:sz="4" w:space="0"/>
              <w:left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708" w:type="dxa"/>
            <w:vMerge w:val="restart"/>
            <w:tcBorders>
              <w:top w:val="single" w:color="000000" w:sz="4" w:space="0"/>
              <w:left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567" w:type="dxa"/>
            <w:vMerge w:val="restart"/>
            <w:tcBorders>
              <w:top w:val="single" w:color="000000" w:sz="4" w:space="0"/>
              <w:left w:val="single" w:color="000000" w:sz="4" w:space="0"/>
              <w:righ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c>
          <w:tcPr>
            <w:tcW w:w="851" w:type="dxa"/>
            <w:vMerge w:val="restart"/>
            <w:tcBorders>
              <w:top w:val="single" w:color="000000" w:sz="4" w:space="0"/>
              <w:left w:val="single" w:color="000000" w:sz="4" w:space="0"/>
            </w:tcBorders>
            <w:vAlign w:val="center"/>
          </w:tcPr>
          <w:p>
            <w:pPr>
              <w:pStyle w:val="6"/>
              <w:jc w:val="center"/>
              <w:rPr>
                <w:rFonts w:ascii="Times New Roman"/>
                <w:sz w:val="22"/>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9" w:hRule="atLeast"/>
          <w:jc w:val="center"/>
        </w:trPr>
        <w:tc>
          <w:tcPr>
            <w:tcW w:w="416" w:type="dxa"/>
            <w:vMerge w:val="restart"/>
            <w:tcBorders>
              <w:bottom w:val="single" w:color="000000" w:sz="4" w:space="0"/>
              <w:right w:val="single" w:color="000000" w:sz="4" w:space="0"/>
            </w:tcBorders>
            <w:vAlign w:val="top"/>
          </w:tcPr>
          <w:p>
            <w:pPr>
              <w:pStyle w:val="6"/>
              <w:rPr>
                <w:rFonts w:ascii="Times New Roman"/>
                <w:sz w:val="20"/>
              </w:rPr>
            </w:pPr>
          </w:p>
        </w:tc>
        <w:tc>
          <w:tcPr>
            <w:tcW w:w="1701" w:type="dxa"/>
            <w:vMerge w:val="continue"/>
            <w:tcBorders>
              <w:left w:val="single" w:color="000000" w:sz="4" w:space="0"/>
              <w:right w:val="single" w:color="000000" w:sz="4" w:space="0"/>
            </w:tcBorders>
            <w:vAlign w:val="top"/>
          </w:tcPr>
          <w:p>
            <w:pPr>
              <w:pStyle w:val="6"/>
              <w:rPr>
                <w:rFonts w:ascii="Times New Roman"/>
                <w:sz w:val="20"/>
              </w:rPr>
            </w:pPr>
          </w:p>
        </w:tc>
        <w:tc>
          <w:tcPr>
            <w:tcW w:w="2976" w:type="dxa"/>
            <w:vMerge w:val="continue"/>
            <w:tcBorders>
              <w:left w:val="single" w:color="000000" w:sz="4" w:space="0"/>
              <w:bottom w:val="single" w:color="000000" w:sz="4" w:space="0"/>
              <w:right w:val="single" w:color="000000" w:sz="4" w:space="0"/>
            </w:tcBorders>
            <w:vAlign w:val="top"/>
          </w:tcPr>
          <w:p>
            <w:pPr>
              <w:pStyle w:val="6"/>
              <w:keepNext w:val="0"/>
              <w:keepLines w:val="0"/>
              <w:pageBreakBefore w:val="0"/>
              <w:widowControl w:val="0"/>
              <w:kinsoku/>
              <w:wordWrap/>
              <w:overflowPunct/>
              <w:topLinePunct w:val="0"/>
              <w:autoSpaceDE/>
              <w:autoSpaceDN/>
              <w:bidi w:val="0"/>
              <w:adjustRightInd/>
              <w:snapToGrid/>
              <w:spacing w:before="21" w:line="249" w:lineRule="exact"/>
              <w:ind w:left="113"/>
              <w:textAlignment w:val="auto"/>
              <w:rPr>
                <w:sz w:val="21"/>
              </w:rPr>
            </w:pPr>
          </w:p>
        </w:tc>
        <w:tc>
          <w:tcPr>
            <w:tcW w:w="829" w:type="dxa"/>
            <w:vMerge w:val="continue"/>
            <w:tcBorders>
              <w:left w:val="single" w:color="000000" w:sz="4" w:space="0"/>
              <w:bottom w:val="single" w:color="000000" w:sz="4" w:space="0"/>
              <w:right w:val="single" w:color="000000" w:sz="4" w:space="0"/>
            </w:tcBorders>
            <w:vAlign w:val="center"/>
          </w:tcPr>
          <w:p>
            <w:pPr>
              <w:pStyle w:val="6"/>
              <w:jc w:val="center"/>
              <w:rPr>
                <w:rFonts w:ascii="Times New Roman"/>
                <w:sz w:val="20"/>
              </w:rPr>
            </w:pPr>
          </w:p>
        </w:tc>
        <w:tc>
          <w:tcPr>
            <w:tcW w:w="567" w:type="dxa"/>
            <w:vMerge w:val="continue"/>
            <w:tcBorders>
              <w:left w:val="single" w:color="000000" w:sz="4" w:space="0"/>
              <w:bottom w:val="single" w:color="000000" w:sz="4" w:space="0"/>
              <w:right w:val="single" w:color="000000" w:sz="4" w:space="0"/>
            </w:tcBorders>
            <w:vAlign w:val="center"/>
          </w:tcPr>
          <w:p>
            <w:pPr>
              <w:pStyle w:val="6"/>
              <w:jc w:val="center"/>
              <w:rPr>
                <w:rFonts w:ascii="Times New Roman"/>
                <w:sz w:val="20"/>
              </w:rPr>
            </w:pPr>
          </w:p>
        </w:tc>
        <w:tc>
          <w:tcPr>
            <w:tcW w:w="567" w:type="dxa"/>
            <w:vMerge w:val="continue"/>
            <w:tcBorders>
              <w:left w:val="single" w:color="000000" w:sz="4" w:space="0"/>
              <w:bottom w:val="single" w:color="000000" w:sz="4" w:space="0"/>
              <w:right w:val="single" w:color="000000" w:sz="4" w:space="0"/>
            </w:tcBorders>
            <w:vAlign w:val="center"/>
          </w:tcPr>
          <w:p>
            <w:pPr>
              <w:pStyle w:val="6"/>
              <w:jc w:val="center"/>
              <w:rPr>
                <w:rFonts w:ascii="Times New Roman"/>
                <w:sz w:val="20"/>
              </w:rPr>
            </w:pPr>
          </w:p>
        </w:tc>
        <w:tc>
          <w:tcPr>
            <w:tcW w:w="731" w:type="dxa"/>
            <w:vMerge w:val="continue"/>
            <w:tcBorders>
              <w:left w:val="single" w:color="000000" w:sz="4" w:space="0"/>
              <w:bottom w:val="single" w:color="000000" w:sz="4" w:space="0"/>
              <w:right w:val="single" w:color="000000" w:sz="4" w:space="0"/>
            </w:tcBorders>
            <w:vAlign w:val="center"/>
          </w:tcPr>
          <w:p>
            <w:pPr>
              <w:pStyle w:val="6"/>
              <w:jc w:val="center"/>
              <w:rPr>
                <w:rFonts w:ascii="Times New Roman"/>
                <w:sz w:val="20"/>
              </w:rPr>
            </w:pPr>
          </w:p>
        </w:tc>
        <w:tc>
          <w:tcPr>
            <w:tcW w:w="708" w:type="dxa"/>
            <w:vMerge w:val="continue"/>
            <w:tcBorders>
              <w:left w:val="single" w:color="000000" w:sz="4" w:space="0"/>
              <w:bottom w:val="single" w:color="000000" w:sz="4" w:space="0"/>
              <w:right w:val="single" w:color="000000" w:sz="4" w:space="0"/>
            </w:tcBorders>
            <w:vAlign w:val="center"/>
          </w:tcPr>
          <w:p>
            <w:pPr>
              <w:pStyle w:val="6"/>
              <w:jc w:val="center"/>
              <w:rPr>
                <w:rFonts w:ascii="Times New Roman"/>
                <w:sz w:val="20"/>
              </w:rPr>
            </w:pPr>
          </w:p>
        </w:tc>
        <w:tc>
          <w:tcPr>
            <w:tcW w:w="567" w:type="dxa"/>
            <w:vMerge w:val="continue"/>
            <w:tcBorders>
              <w:left w:val="single" w:color="000000" w:sz="4" w:space="0"/>
              <w:bottom w:val="single" w:color="000000" w:sz="4" w:space="0"/>
              <w:right w:val="single" w:color="000000" w:sz="4" w:space="0"/>
            </w:tcBorders>
            <w:vAlign w:val="center"/>
          </w:tcPr>
          <w:p>
            <w:pPr>
              <w:pStyle w:val="6"/>
              <w:jc w:val="center"/>
              <w:rPr>
                <w:rFonts w:ascii="Times New Roman"/>
                <w:sz w:val="20"/>
              </w:rPr>
            </w:pPr>
          </w:p>
        </w:tc>
        <w:tc>
          <w:tcPr>
            <w:tcW w:w="851" w:type="dxa"/>
            <w:vMerge w:val="continue"/>
            <w:tcBorders>
              <w:left w:val="single" w:color="000000" w:sz="4" w:space="0"/>
              <w:bottom w:val="single" w:color="000000" w:sz="4" w:space="0"/>
            </w:tcBorders>
            <w:vAlign w:val="center"/>
          </w:tcPr>
          <w:p>
            <w:pPr>
              <w:pStyle w:val="6"/>
              <w:jc w:val="center"/>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0" w:hRule="atLeast"/>
          <w:jc w:val="center"/>
        </w:trPr>
        <w:tc>
          <w:tcPr>
            <w:tcW w:w="416" w:type="dxa"/>
            <w:vMerge w:val="continue"/>
            <w:tcBorders>
              <w:top w:val="nil"/>
              <w:bottom w:val="single" w:color="000000" w:sz="4" w:space="0"/>
              <w:right w:val="single" w:color="000000" w:sz="4" w:space="0"/>
            </w:tcBorders>
            <w:vAlign w:val="top"/>
          </w:tcPr>
          <w:p>
            <w:pPr>
              <w:rPr>
                <w:sz w:val="2"/>
                <w:szCs w:val="2"/>
              </w:rPr>
            </w:pPr>
          </w:p>
        </w:tc>
        <w:tc>
          <w:tcPr>
            <w:tcW w:w="1701" w:type="dxa"/>
            <w:vMerge w:val="continue"/>
            <w:tcBorders>
              <w:left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keepNext w:val="0"/>
              <w:keepLines w:val="0"/>
              <w:pageBreakBefore w:val="0"/>
              <w:widowControl w:val="0"/>
              <w:kinsoku/>
              <w:wordWrap/>
              <w:overflowPunct/>
              <w:topLinePunct w:val="0"/>
              <w:autoSpaceDE/>
              <w:autoSpaceDN/>
              <w:bidi w:val="0"/>
              <w:adjustRightInd/>
              <w:snapToGrid/>
              <w:spacing w:line="300" w:lineRule="exact"/>
              <w:ind w:left="113" w:right="-17"/>
              <w:jc w:val="both"/>
              <w:textAlignment w:val="auto"/>
              <w:rPr>
                <w:sz w:val="21"/>
              </w:rPr>
            </w:pPr>
            <w:r>
              <w:rPr>
                <w:sz w:val="21"/>
              </w:rPr>
              <w:t>2.申请人逾期未按收费通知要求缴纳费用、行政机关不再处理其政府信息公开申请</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2" w:hRule="atLeast"/>
          <w:jc w:val="center"/>
        </w:trPr>
        <w:tc>
          <w:tcPr>
            <w:tcW w:w="416" w:type="dxa"/>
            <w:vMerge w:val="continue"/>
            <w:tcBorders>
              <w:top w:val="nil"/>
              <w:bottom w:val="single" w:color="000000" w:sz="4" w:space="0"/>
              <w:right w:val="single" w:color="000000" w:sz="4" w:space="0"/>
            </w:tcBorders>
            <w:vAlign w:val="top"/>
          </w:tcPr>
          <w:p>
            <w:pPr>
              <w:rPr>
                <w:sz w:val="2"/>
                <w:szCs w:val="2"/>
              </w:rPr>
            </w:pPr>
          </w:p>
        </w:tc>
        <w:tc>
          <w:tcPr>
            <w:tcW w:w="1701" w:type="dxa"/>
            <w:vMerge w:val="continue"/>
            <w:tcBorders>
              <w:left w:val="single" w:color="000000" w:sz="4" w:space="0"/>
              <w:bottom w:val="single" w:color="000000" w:sz="4" w:space="0"/>
              <w:right w:val="single" w:color="000000" w:sz="4" w:space="0"/>
            </w:tcBorders>
            <w:vAlign w:val="top"/>
          </w:tcPr>
          <w:p>
            <w:pPr>
              <w:rPr>
                <w:sz w:val="2"/>
                <w:szCs w:val="2"/>
              </w:rPr>
            </w:pPr>
          </w:p>
        </w:tc>
        <w:tc>
          <w:tcPr>
            <w:tcW w:w="2976" w:type="dxa"/>
            <w:tcBorders>
              <w:top w:val="single" w:color="000000" w:sz="4" w:space="0"/>
              <w:left w:val="single" w:color="000000" w:sz="4" w:space="0"/>
              <w:bottom w:val="single" w:color="000000" w:sz="4" w:space="0"/>
              <w:right w:val="single" w:color="000000" w:sz="4" w:space="0"/>
            </w:tcBorders>
            <w:vAlign w:val="top"/>
          </w:tcPr>
          <w:p>
            <w:pPr>
              <w:pStyle w:val="6"/>
              <w:keepNext w:val="0"/>
              <w:keepLines w:val="0"/>
              <w:pageBreakBefore w:val="0"/>
              <w:widowControl w:val="0"/>
              <w:kinsoku/>
              <w:wordWrap/>
              <w:overflowPunct/>
              <w:topLinePunct w:val="0"/>
              <w:autoSpaceDE/>
              <w:autoSpaceDN/>
              <w:bidi w:val="0"/>
              <w:adjustRightInd/>
              <w:snapToGrid/>
              <w:spacing w:before="126"/>
              <w:ind w:left="113"/>
              <w:textAlignment w:val="auto"/>
              <w:rPr>
                <w:sz w:val="21"/>
              </w:rPr>
            </w:pPr>
            <w:r>
              <w:rPr>
                <w:sz w:val="21"/>
              </w:rPr>
              <w:t>3.其他</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1" w:hRule="atLeast"/>
          <w:jc w:val="center"/>
        </w:trPr>
        <w:tc>
          <w:tcPr>
            <w:tcW w:w="416" w:type="dxa"/>
            <w:vMerge w:val="continue"/>
            <w:tcBorders>
              <w:top w:val="nil"/>
              <w:bottom w:val="single" w:color="000000" w:sz="4" w:space="0"/>
              <w:right w:val="single" w:color="000000" w:sz="4" w:space="0"/>
            </w:tcBorders>
            <w:vAlign w:val="top"/>
          </w:tcPr>
          <w:p>
            <w:pPr>
              <w:rPr>
                <w:sz w:val="2"/>
                <w:szCs w:val="2"/>
              </w:rPr>
            </w:pPr>
          </w:p>
        </w:tc>
        <w:tc>
          <w:tcPr>
            <w:tcW w:w="4677" w:type="dxa"/>
            <w:gridSpan w:val="2"/>
            <w:tcBorders>
              <w:top w:val="single" w:color="000000" w:sz="4" w:space="0"/>
              <w:left w:val="single" w:color="000000" w:sz="4" w:space="0"/>
              <w:bottom w:val="single" w:color="000000" w:sz="4" w:space="0"/>
              <w:right w:val="single" w:color="000000" w:sz="4" w:space="0"/>
            </w:tcBorders>
            <w:vAlign w:val="top"/>
          </w:tcPr>
          <w:p>
            <w:pPr>
              <w:pStyle w:val="6"/>
              <w:spacing w:before="125"/>
              <w:ind w:left="112"/>
              <w:rPr>
                <w:rFonts w:hint="eastAsia" w:ascii="黑体" w:eastAsia="黑体"/>
                <w:sz w:val="21"/>
              </w:rPr>
            </w:pPr>
            <w:r>
              <w:rPr>
                <w:rFonts w:hint="eastAsia" w:ascii="黑体" w:eastAsia="黑体"/>
                <w:sz w:val="21"/>
                <w:lang w:val="en-US" w:eastAsia="zh-CN"/>
              </w:rPr>
              <w:t>(</w:t>
            </w:r>
            <w:r>
              <w:rPr>
                <w:rFonts w:hint="eastAsia" w:ascii="黑体" w:eastAsia="黑体"/>
                <w:sz w:val="21"/>
              </w:rPr>
              <w:t>七）总计</w:t>
            </w:r>
          </w:p>
        </w:tc>
        <w:tc>
          <w:tcPr>
            <w:tcW w:w="829"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31"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08"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bottom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851" w:type="dxa"/>
            <w:tcBorders>
              <w:top w:val="single" w:color="000000" w:sz="4" w:space="0"/>
              <w:left w:val="single" w:color="000000" w:sz="4" w:space="0"/>
              <w:bottom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1" w:hRule="atLeast"/>
          <w:jc w:val="center"/>
        </w:trPr>
        <w:tc>
          <w:tcPr>
            <w:tcW w:w="5093" w:type="dxa"/>
            <w:gridSpan w:val="3"/>
            <w:tcBorders>
              <w:top w:val="single" w:color="000000" w:sz="4" w:space="0"/>
              <w:right w:val="single" w:color="000000" w:sz="4" w:space="0"/>
            </w:tcBorders>
            <w:vAlign w:val="top"/>
          </w:tcPr>
          <w:p>
            <w:pPr>
              <w:pStyle w:val="6"/>
              <w:spacing w:before="125"/>
              <w:ind w:left="108"/>
              <w:rPr>
                <w:rFonts w:hint="eastAsia" w:ascii="黑体" w:eastAsia="黑体"/>
                <w:sz w:val="21"/>
              </w:rPr>
            </w:pPr>
            <w:r>
              <w:rPr>
                <w:rFonts w:hint="eastAsia" w:ascii="黑体" w:eastAsia="黑体"/>
                <w:sz w:val="21"/>
              </w:rPr>
              <w:t>四、结转下年度继续办理</w:t>
            </w:r>
          </w:p>
        </w:tc>
        <w:tc>
          <w:tcPr>
            <w:tcW w:w="829" w:type="dxa"/>
            <w:tcBorders>
              <w:top w:val="single" w:color="000000" w:sz="4" w:space="0"/>
              <w:left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31" w:type="dxa"/>
            <w:tcBorders>
              <w:top w:val="single" w:color="000000" w:sz="4" w:space="0"/>
              <w:left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708" w:type="dxa"/>
            <w:tcBorders>
              <w:top w:val="single" w:color="000000" w:sz="4" w:space="0"/>
              <w:left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567" w:type="dxa"/>
            <w:tcBorders>
              <w:top w:val="single" w:color="000000" w:sz="4" w:space="0"/>
              <w:left w:val="single" w:color="000000" w:sz="4" w:space="0"/>
              <w:righ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c>
          <w:tcPr>
            <w:tcW w:w="851" w:type="dxa"/>
            <w:tcBorders>
              <w:top w:val="single" w:color="000000" w:sz="4" w:space="0"/>
              <w:left w:val="single" w:color="000000" w:sz="4" w:space="0"/>
            </w:tcBorders>
            <w:vAlign w:val="center"/>
          </w:tcPr>
          <w:p>
            <w:pPr>
              <w:pStyle w:val="6"/>
              <w:jc w:val="center"/>
              <w:rPr>
                <w:rFonts w:ascii="Times New Roman"/>
                <w:sz w:val="20"/>
              </w:rPr>
            </w:pPr>
            <w:r>
              <w:rPr>
                <w:rFonts w:hint="eastAsia" w:ascii="Times New Roman"/>
                <w:sz w:val="22"/>
                <w:lang w:val="en-US" w:eastAsia="zh-CN"/>
              </w:rPr>
              <w:t>0</w:t>
            </w:r>
          </w:p>
        </w:tc>
      </w:tr>
    </w:tbl>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Chars="0" w:right="0" w:rightChars="0"/>
        <w:jc w:val="left"/>
        <w:rPr>
          <w:rFonts w:hint="eastAsia" w:ascii="微软雅黑" w:hAnsi="微软雅黑" w:eastAsia="微软雅黑" w:cs="微软雅黑"/>
          <w:b/>
          <w:bCs/>
          <w:i w:val="0"/>
          <w:iCs w:val="0"/>
          <w:caps w:val="0"/>
          <w:color w:val="2E332D"/>
          <w:spacing w:val="0"/>
          <w:sz w:val="24"/>
          <w:szCs w:val="24"/>
          <w:shd w:val="clear" w:fill="FFFFFF"/>
        </w:rPr>
      </w:pPr>
      <w:r>
        <w:rPr>
          <w:rFonts w:hint="eastAsia" w:ascii="微软雅黑" w:hAnsi="微软雅黑" w:eastAsia="微软雅黑" w:cs="微软雅黑"/>
          <w:b/>
          <w:bCs/>
          <w:i w:val="0"/>
          <w:iCs w:val="0"/>
          <w:caps w:val="0"/>
          <w:color w:val="2E332D"/>
          <w:spacing w:val="0"/>
          <w:sz w:val="24"/>
          <w:szCs w:val="24"/>
          <w:shd w:val="clear" w:fill="FFFFFF"/>
          <w:lang w:eastAsia="zh-CN"/>
        </w:rPr>
        <w:t>四、</w:t>
      </w:r>
      <w:r>
        <w:rPr>
          <w:rFonts w:hint="eastAsia" w:ascii="微软雅黑" w:hAnsi="微软雅黑" w:eastAsia="微软雅黑" w:cs="微软雅黑"/>
          <w:b/>
          <w:bCs/>
          <w:i w:val="0"/>
          <w:iCs w:val="0"/>
          <w:caps w:val="0"/>
          <w:color w:val="2E332D"/>
          <w:spacing w:val="0"/>
          <w:sz w:val="24"/>
          <w:szCs w:val="24"/>
          <w:shd w:val="clear" w:fill="FFFFFF"/>
        </w:rPr>
        <w:t>政府信息公开行政复议、行政诉讼情况</w:t>
      </w:r>
    </w:p>
    <w:tbl>
      <w:tblPr>
        <w:tblStyle w:val="4"/>
        <w:tblW w:w="9071"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7" w:hRule="atLeast"/>
          <w:jc w:val="center"/>
        </w:trPr>
        <w:tc>
          <w:tcPr>
            <w:tcW w:w="3074" w:type="dxa"/>
            <w:gridSpan w:val="5"/>
            <w:vAlign w:val="top"/>
          </w:tcPr>
          <w:p>
            <w:pPr>
              <w:pStyle w:val="6"/>
              <w:spacing w:before="120"/>
              <w:ind w:left="1116" w:right="1098"/>
              <w:jc w:val="center"/>
              <w:rPr>
                <w:rFonts w:hint="eastAsia" w:ascii="黑体" w:eastAsia="黑体"/>
                <w:sz w:val="20"/>
              </w:rPr>
            </w:pPr>
            <w:r>
              <w:rPr>
                <w:rFonts w:hint="eastAsia" w:ascii="黑体" w:eastAsia="黑体"/>
                <w:sz w:val="20"/>
              </w:rPr>
              <w:t>行政复议</w:t>
            </w:r>
          </w:p>
        </w:tc>
        <w:tc>
          <w:tcPr>
            <w:tcW w:w="5997" w:type="dxa"/>
            <w:gridSpan w:val="10"/>
            <w:vAlign w:val="top"/>
          </w:tcPr>
          <w:p>
            <w:pPr>
              <w:pStyle w:val="6"/>
              <w:spacing w:before="120"/>
              <w:ind w:left="2575" w:right="2561"/>
              <w:jc w:val="center"/>
              <w:rPr>
                <w:rFonts w:hint="eastAsia" w:ascii="黑体" w:eastAsia="黑体"/>
                <w:sz w:val="20"/>
              </w:rPr>
            </w:pPr>
            <w:r>
              <w:rPr>
                <w:rFonts w:hint="eastAsia" w:ascii="黑体" w:eastAsia="黑体"/>
                <w:sz w:val="20"/>
              </w:rPr>
              <w:t>行政诉讼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6" w:hRule="atLeast"/>
          <w:jc w:val="center"/>
        </w:trPr>
        <w:tc>
          <w:tcPr>
            <w:tcW w:w="604" w:type="dxa"/>
            <w:vMerge w:val="restart"/>
            <w:vAlign w:val="top"/>
          </w:tcPr>
          <w:p>
            <w:pPr>
              <w:pStyle w:val="6"/>
              <w:spacing w:before="12"/>
              <w:rPr>
                <w:rFonts w:ascii="方正小标宋简体"/>
                <w:sz w:val="26"/>
              </w:rPr>
            </w:pPr>
          </w:p>
          <w:p>
            <w:pPr>
              <w:pStyle w:val="6"/>
              <w:spacing w:line="292" w:lineRule="auto"/>
              <w:ind w:left="111" w:right="71"/>
              <w:rPr>
                <w:rFonts w:hint="eastAsia" w:ascii="黑体" w:eastAsia="黑体"/>
                <w:sz w:val="20"/>
              </w:rPr>
            </w:pPr>
            <w:r>
              <w:rPr>
                <w:rFonts w:hint="eastAsia" w:ascii="黑体" w:eastAsia="黑体"/>
                <w:sz w:val="20"/>
              </w:rPr>
              <w:t>结果维持</w:t>
            </w:r>
          </w:p>
        </w:tc>
        <w:tc>
          <w:tcPr>
            <w:tcW w:w="604" w:type="dxa"/>
            <w:vMerge w:val="restart"/>
            <w:vAlign w:val="top"/>
          </w:tcPr>
          <w:p>
            <w:pPr>
              <w:pStyle w:val="6"/>
              <w:spacing w:before="12"/>
              <w:rPr>
                <w:rFonts w:ascii="方正小标宋简体"/>
                <w:sz w:val="26"/>
              </w:rPr>
            </w:pPr>
          </w:p>
          <w:p>
            <w:pPr>
              <w:pStyle w:val="6"/>
              <w:spacing w:line="292" w:lineRule="auto"/>
              <w:ind w:left="146" w:right="37"/>
              <w:rPr>
                <w:rFonts w:hint="eastAsia" w:ascii="黑体" w:eastAsia="黑体"/>
                <w:sz w:val="20"/>
              </w:rPr>
            </w:pPr>
            <w:r>
              <w:rPr>
                <w:rFonts w:hint="eastAsia" w:ascii="黑体" w:eastAsia="黑体"/>
                <w:sz w:val="20"/>
              </w:rPr>
              <w:t>结果纠正</w:t>
            </w:r>
          </w:p>
        </w:tc>
        <w:tc>
          <w:tcPr>
            <w:tcW w:w="604" w:type="dxa"/>
            <w:vMerge w:val="restart"/>
            <w:vAlign w:val="top"/>
          </w:tcPr>
          <w:p>
            <w:pPr>
              <w:pStyle w:val="6"/>
              <w:spacing w:before="12"/>
              <w:rPr>
                <w:rFonts w:ascii="方正小标宋简体"/>
                <w:sz w:val="26"/>
              </w:rPr>
            </w:pPr>
          </w:p>
          <w:p>
            <w:pPr>
              <w:pStyle w:val="6"/>
              <w:spacing w:line="292" w:lineRule="auto"/>
              <w:ind w:left="108" w:right="75"/>
              <w:rPr>
                <w:rFonts w:hint="eastAsia" w:ascii="黑体" w:eastAsia="黑体"/>
                <w:sz w:val="20"/>
              </w:rPr>
            </w:pPr>
            <w:r>
              <w:rPr>
                <w:rFonts w:hint="eastAsia" w:ascii="黑体" w:eastAsia="黑体"/>
                <w:sz w:val="20"/>
              </w:rPr>
              <w:t>其他结果</w:t>
            </w:r>
          </w:p>
        </w:tc>
        <w:tc>
          <w:tcPr>
            <w:tcW w:w="604" w:type="dxa"/>
            <w:vMerge w:val="restart"/>
            <w:vAlign w:val="top"/>
          </w:tcPr>
          <w:p>
            <w:pPr>
              <w:pStyle w:val="6"/>
              <w:spacing w:before="12"/>
              <w:rPr>
                <w:rFonts w:ascii="方正小标宋简体"/>
                <w:sz w:val="26"/>
              </w:rPr>
            </w:pPr>
          </w:p>
          <w:p>
            <w:pPr>
              <w:pStyle w:val="6"/>
              <w:spacing w:line="292" w:lineRule="auto"/>
              <w:ind w:left="102" w:right="81"/>
              <w:rPr>
                <w:rFonts w:hint="eastAsia" w:ascii="黑体" w:eastAsia="黑体"/>
                <w:sz w:val="20"/>
              </w:rPr>
            </w:pPr>
            <w:r>
              <w:rPr>
                <w:rFonts w:hint="eastAsia" w:ascii="黑体" w:eastAsia="黑体"/>
                <w:sz w:val="20"/>
              </w:rPr>
              <w:t>尚未审结</w:t>
            </w:r>
          </w:p>
        </w:tc>
        <w:tc>
          <w:tcPr>
            <w:tcW w:w="658" w:type="dxa"/>
            <w:vMerge w:val="restart"/>
            <w:vAlign w:val="top"/>
          </w:tcPr>
          <w:p>
            <w:pPr>
              <w:pStyle w:val="6"/>
              <w:rPr>
                <w:rFonts w:ascii="方正小标宋简体"/>
                <w:sz w:val="28"/>
              </w:rPr>
            </w:pPr>
          </w:p>
          <w:p>
            <w:pPr>
              <w:pStyle w:val="6"/>
              <w:spacing w:line="300" w:lineRule="auto"/>
              <w:ind w:left="228" w:right="210"/>
              <w:rPr>
                <w:rFonts w:hint="eastAsia" w:ascii="黑体" w:eastAsia="黑体"/>
                <w:sz w:val="20"/>
              </w:rPr>
            </w:pPr>
            <w:r>
              <w:rPr>
                <w:rFonts w:hint="eastAsia" w:ascii="黑体" w:eastAsia="黑体"/>
                <w:w w:val="95"/>
                <w:sz w:val="20"/>
              </w:rPr>
              <w:t>总计</w:t>
            </w:r>
          </w:p>
        </w:tc>
        <w:tc>
          <w:tcPr>
            <w:tcW w:w="2970" w:type="dxa"/>
            <w:gridSpan w:val="5"/>
            <w:vAlign w:val="top"/>
          </w:tcPr>
          <w:p>
            <w:pPr>
              <w:pStyle w:val="6"/>
              <w:spacing w:before="145"/>
              <w:ind w:left="683"/>
              <w:rPr>
                <w:rFonts w:hint="eastAsia" w:ascii="黑体" w:eastAsia="黑体"/>
                <w:sz w:val="20"/>
              </w:rPr>
            </w:pPr>
            <w:r>
              <w:rPr>
                <w:rFonts w:hint="eastAsia" w:ascii="黑体" w:eastAsia="黑体"/>
                <w:sz w:val="20"/>
              </w:rPr>
              <w:t>未经复议直接起诉</w:t>
            </w:r>
          </w:p>
        </w:tc>
        <w:tc>
          <w:tcPr>
            <w:tcW w:w="3027" w:type="dxa"/>
            <w:gridSpan w:val="5"/>
            <w:vAlign w:val="top"/>
          </w:tcPr>
          <w:p>
            <w:pPr>
              <w:pStyle w:val="6"/>
              <w:spacing w:before="145"/>
              <w:ind w:left="1013"/>
              <w:rPr>
                <w:rFonts w:hint="eastAsia" w:ascii="黑体" w:eastAsia="黑体"/>
                <w:sz w:val="20"/>
              </w:rPr>
            </w:pPr>
            <w:r>
              <w:rPr>
                <w:rFonts w:hint="eastAsia" w:ascii="黑体" w:eastAsia="黑体"/>
                <w:sz w:val="20"/>
              </w:rPr>
              <w:t>复议后起诉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6" w:hRule="atLeast"/>
          <w:jc w:val="center"/>
        </w:trPr>
        <w:tc>
          <w:tcPr>
            <w:tcW w:w="604" w:type="dxa"/>
            <w:vMerge w:val="continue"/>
            <w:tcBorders>
              <w:top w:val="nil"/>
            </w:tcBorders>
            <w:vAlign w:val="top"/>
          </w:tcPr>
          <w:p>
            <w:pPr>
              <w:rPr>
                <w:sz w:val="2"/>
                <w:szCs w:val="2"/>
              </w:rPr>
            </w:pPr>
          </w:p>
        </w:tc>
        <w:tc>
          <w:tcPr>
            <w:tcW w:w="604" w:type="dxa"/>
            <w:vMerge w:val="continue"/>
            <w:tcBorders>
              <w:top w:val="nil"/>
            </w:tcBorders>
            <w:vAlign w:val="top"/>
          </w:tcPr>
          <w:p>
            <w:pPr>
              <w:rPr>
                <w:sz w:val="2"/>
                <w:szCs w:val="2"/>
              </w:rPr>
            </w:pPr>
          </w:p>
        </w:tc>
        <w:tc>
          <w:tcPr>
            <w:tcW w:w="604" w:type="dxa"/>
            <w:vMerge w:val="continue"/>
            <w:tcBorders>
              <w:top w:val="nil"/>
            </w:tcBorders>
            <w:vAlign w:val="top"/>
          </w:tcPr>
          <w:p>
            <w:pPr>
              <w:rPr>
                <w:sz w:val="2"/>
                <w:szCs w:val="2"/>
              </w:rPr>
            </w:pPr>
          </w:p>
        </w:tc>
        <w:tc>
          <w:tcPr>
            <w:tcW w:w="604" w:type="dxa"/>
            <w:vMerge w:val="continue"/>
            <w:tcBorders>
              <w:top w:val="nil"/>
            </w:tcBorders>
            <w:vAlign w:val="top"/>
          </w:tcPr>
          <w:p>
            <w:pPr>
              <w:rPr>
                <w:sz w:val="2"/>
                <w:szCs w:val="2"/>
              </w:rPr>
            </w:pPr>
          </w:p>
        </w:tc>
        <w:tc>
          <w:tcPr>
            <w:tcW w:w="658" w:type="dxa"/>
            <w:vMerge w:val="continue"/>
            <w:tcBorders>
              <w:top w:val="nil"/>
            </w:tcBorders>
            <w:vAlign w:val="top"/>
          </w:tcPr>
          <w:p>
            <w:pPr>
              <w:rPr>
                <w:sz w:val="2"/>
                <w:szCs w:val="2"/>
              </w:rPr>
            </w:pPr>
          </w:p>
        </w:tc>
        <w:tc>
          <w:tcPr>
            <w:tcW w:w="550" w:type="dxa"/>
            <w:vAlign w:val="top"/>
          </w:tcPr>
          <w:p>
            <w:pPr>
              <w:pStyle w:val="6"/>
              <w:spacing w:before="168" w:line="292" w:lineRule="auto"/>
              <w:ind w:left="83" w:right="46"/>
              <w:rPr>
                <w:rFonts w:hint="eastAsia" w:ascii="黑体" w:eastAsia="黑体"/>
                <w:sz w:val="20"/>
              </w:rPr>
            </w:pPr>
            <w:r>
              <w:rPr>
                <w:rFonts w:hint="eastAsia" w:ascii="黑体" w:eastAsia="黑体"/>
                <w:sz w:val="20"/>
              </w:rPr>
              <w:t>结果维持</w:t>
            </w:r>
          </w:p>
        </w:tc>
        <w:tc>
          <w:tcPr>
            <w:tcW w:w="605" w:type="dxa"/>
            <w:vAlign w:val="top"/>
          </w:tcPr>
          <w:p>
            <w:pPr>
              <w:pStyle w:val="6"/>
              <w:spacing w:before="168" w:line="292" w:lineRule="auto"/>
              <w:ind w:left="102" w:right="82"/>
              <w:rPr>
                <w:rFonts w:hint="eastAsia" w:ascii="黑体" w:eastAsia="黑体"/>
                <w:sz w:val="20"/>
              </w:rPr>
            </w:pPr>
            <w:r>
              <w:rPr>
                <w:rFonts w:hint="eastAsia" w:ascii="黑体" w:eastAsia="黑体"/>
                <w:sz w:val="20"/>
              </w:rPr>
              <w:t>结果纠正</w:t>
            </w:r>
          </w:p>
        </w:tc>
        <w:tc>
          <w:tcPr>
            <w:tcW w:w="605" w:type="dxa"/>
            <w:vAlign w:val="top"/>
          </w:tcPr>
          <w:p>
            <w:pPr>
              <w:pStyle w:val="6"/>
              <w:spacing w:before="168" w:line="292" w:lineRule="auto"/>
              <w:ind w:left="107" w:right="77"/>
              <w:rPr>
                <w:rFonts w:hint="eastAsia" w:ascii="黑体" w:eastAsia="黑体"/>
                <w:sz w:val="20"/>
              </w:rPr>
            </w:pPr>
            <w:r>
              <w:rPr>
                <w:rFonts w:hint="eastAsia" w:ascii="黑体" w:eastAsia="黑体"/>
                <w:sz w:val="20"/>
              </w:rPr>
              <w:t>其他结果</w:t>
            </w:r>
          </w:p>
        </w:tc>
        <w:tc>
          <w:tcPr>
            <w:tcW w:w="605" w:type="dxa"/>
            <w:vAlign w:val="top"/>
          </w:tcPr>
          <w:p>
            <w:pPr>
              <w:pStyle w:val="6"/>
              <w:spacing w:before="168" w:line="292" w:lineRule="auto"/>
              <w:ind w:left="97" w:right="87"/>
              <w:rPr>
                <w:rFonts w:hint="eastAsia" w:ascii="黑体" w:eastAsia="黑体"/>
                <w:sz w:val="20"/>
              </w:rPr>
            </w:pPr>
            <w:r>
              <w:rPr>
                <w:rFonts w:hint="eastAsia" w:ascii="黑体" w:eastAsia="黑体"/>
                <w:sz w:val="20"/>
              </w:rPr>
              <w:t>尚未审结</w:t>
            </w:r>
          </w:p>
        </w:tc>
        <w:tc>
          <w:tcPr>
            <w:tcW w:w="605" w:type="dxa"/>
            <w:vAlign w:val="top"/>
          </w:tcPr>
          <w:p>
            <w:pPr>
              <w:pStyle w:val="6"/>
              <w:spacing w:before="168" w:line="292" w:lineRule="auto"/>
              <w:ind w:left="202" w:right="181"/>
              <w:rPr>
                <w:rFonts w:hint="eastAsia" w:ascii="黑体" w:eastAsia="黑体"/>
                <w:sz w:val="20"/>
              </w:rPr>
            </w:pPr>
            <w:r>
              <w:rPr>
                <w:rFonts w:hint="eastAsia" w:ascii="黑体" w:eastAsia="黑体"/>
                <w:sz w:val="20"/>
              </w:rPr>
              <w:t>总计</w:t>
            </w:r>
          </w:p>
        </w:tc>
        <w:tc>
          <w:tcPr>
            <w:tcW w:w="605" w:type="dxa"/>
            <w:vAlign w:val="top"/>
          </w:tcPr>
          <w:p>
            <w:pPr>
              <w:pStyle w:val="6"/>
              <w:spacing w:before="168" w:line="292" w:lineRule="auto"/>
              <w:ind w:left="92" w:right="92"/>
              <w:rPr>
                <w:rFonts w:hint="eastAsia" w:ascii="黑体" w:eastAsia="黑体"/>
                <w:sz w:val="20"/>
              </w:rPr>
            </w:pPr>
            <w:r>
              <w:rPr>
                <w:rFonts w:hint="eastAsia" w:ascii="黑体" w:eastAsia="黑体"/>
                <w:sz w:val="20"/>
              </w:rPr>
              <w:t>结果维持</w:t>
            </w:r>
          </w:p>
        </w:tc>
        <w:tc>
          <w:tcPr>
            <w:tcW w:w="605" w:type="dxa"/>
            <w:vAlign w:val="top"/>
          </w:tcPr>
          <w:p>
            <w:pPr>
              <w:pStyle w:val="6"/>
              <w:spacing w:before="168" w:line="292" w:lineRule="auto"/>
              <w:ind w:left="96" w:right="88"/>
              <w:rPr>
                <w:rFonts w:hint="eastAsia" w:ascii="黑体" w:eastAsia="黑体"/>
                <w:sz w:val="20"/>
              </w:rPr>
            </w:pPr>
            <w:r>
              <w:rPr>
                <w:rFonts w:hint="eastAsia" w:ascii="黑体" w:eastAsia="黑体"/>
                <w:sz w:val="20"/>
              </w:rPr>
              <w:t>结果纠正</w:t>
            </w:r>
          </w:p>
        </w:tc>
        <w:tc>
          <w:tcPr>
            <w:tcW w:w="605" w:type="dxa"/>
            <w:vAlign w:val="top"/>
          </w:tcPr>
          <w:p>
            <w:pPr>
              <w:pStyle w:val="6"/>
              <w:spacing w:before="168" w:line="292" w:lineRule="auto"/>
              <w:ind w:left="82" w:right="102"/>
              <w:rPr>
                <w:rFonts w:hint="eastAsia" w:ascii="黑体" w:eastAsia="黑体"/>
                <w:sz w:val="20"/>
              </w:rPr>
            </w:pPr>
            <w:r>
              <w:rPr>
                <w:rFonts w:hint="eastAsia" w:ascii="黑体" w:eastAsia="黑体"/>
                <w:sz w:val="20"/>
              </w:rPr>
              <w:t>其他结果</w:t>
            </w:r>
          </w:p>
        </w:tc>
        <w:tc>
          <w:tcPr>
            <w:tcW w:w="606" w:type="dxa"/>
            <w:vAlign w:val="top"/>
          </w:tcPr>
          <w:p>
            <w:pPr>
              <w:pStyle w:val="6"/>
              <w:spacing w:before="168" w:line="292" w:lineRule="auto"/>
              <w:ind w:left="122" w:right="63" w:hanging="3"/>
              <w:rPr>
                <w:rFonts w:hint="eastAsia" w:ascii="黑体" w:eastAsia="黑体"/>
                <w:sz w:val="20"/>
              </w:rPr>
            </w:pPr>
            <w:r>
              <w:rPr>
                <w:rFonts w:hint="eastAsia" w:ascii="黑体" w:eastAsia="黑体"/>
                <w:sz w:val="20"/>
              </w:rPr>
              <w:t>尚未审结</w:t>
            </w:r>
          </w:p>
        </w:tc>
        <w:tc>
          <w:tcPr>
            <w:tcW w:w="606" w:type="dxa"/>
            <w:vAlign w:val="top"/>
          </w:tcPr>
          <w:p>
            <w:pPr>
              <w:pStyle w:val="6"/>
              <w:spacing w:before="168" w:line="292" w:lineRule="auto"/>
              <w:ind w:left="203" w:right="183"/>
              <w:rPr>
                <w:rFonts w:hint="eastAsia" w:ascii="黑体" w:eastAsia="黑体"/>
                <w:sz w:val="20"/>
              </w:rPr>
            </w:pPr>
            <w:r>
              <w:rPr>
                <w:rFonts w:hint="eastAsia" w:ascii="黑体" w:eastAsia="黑体"/>
                <w:w w:val="95"/>
                <w:sz w:val="20"/>
              </w:rPr>
              <w:t>总计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1" w:hRule="atLeast"/>
          <w:jc w:val="center"/>
        </w:trPr>
        <w:tc>
          <w:tcPr>
            <w:tcW w:w="604" w:type="dxa"/>
            <w:vAlign w:val="center"/>
          </w:tcPr>
          <w:p>
            <w:pPr>
              <w:pStyle w:val="6"/>
              <w:jc w:val="center"/>
              <w:rPr>
                <w:rFonts w:ascii="Times New Roman"/>
                <w:sz w:val="26"/>
              </w:rPr>
            </w:pPr>
            <w:r>
              <w:rPr>
                <w:rFonts w:hint="eastAsia" w:ascii="Times New Roman"/>
                <w:sz w:val="22"/>
                <w:lang w:val="en-US" w:eastAsia="zh-CN"/>
              </w:rPr>
              <w:t>0</w:t>
            </w:r>
          </w:p>
        </w:tc>
        <w:tc>
          <w:tcPr>
            <w:tcW w:w="604" w:type="dxa"/>
            <w:vAlign w:val="center"/>
          </w:tcPr>
          <w:p>
            <w:pPr>
              <w:pStyle w:val="6"/>
              <w:jc w:val="center"/>
              <w:rPr>
                <w:rFonts w:ascii="Times New Roman"/>
                <w:sz w:val="26"/>
              </w:rPr>
            </w:pPr>
            <w:r>
              <w:rPr>
                <w:rFonts w:hint="eastAsia" w:ascii="Times New Roman"/>
                <w:sz w:val="22"/>
                <w:lang w:val="en-US" w:eastAsia="zh-CN"/>
              </w:rPr>
              <w:t>0</w:t>
            </w:r>
          </w:p>
        </w:tc>
        <w:tc>
          <w:tcPr>
            <w:tcW w:w="604" w:type="dxa"/>
            <w:vAlign w:val="center"/>
          </w:tcPr>
          <w:p>
            <w:pPr>
              <w:pStyle w:val="6"/>
              <w:jc w:val="center"/>
              <w:rPr>
                <w:rFonts w:ascii="Times New Roman"/>
                <w:sz w:val="26"/>
              </w:rPr>
            </w:pPr>
            <w:r>
              <w:rPr>
                <w:rFonts w:hint="eastAsia" w:ascii="Times New Roman"/>
                <w:sz w:val="22"/>
                <w:lang w:val="en-US" w:eastAsia="zh-CN"/>
              </w:rPr>
              <w:t>0</w:t>
            </w:r>
          </w:p>
        </w:tc>
        <w:tc>
          <w:tcPr>
            <w:tcW w:w="604" w:type="dxa"/>
            <w:vAlign w:val="center"/>
          </w:tcPr>
          <w:p>
            <w:pPr>
              <w:pStyle w:val="6"/>
              <w:jc w:val="center"/>
              <w:rPr>
                <w:rFonts w:ascii="Times New Roman"/>
                <w:sz w:val="26"/>
              </w:rPr>
            </w:pPr>
            <w:r>
              <w:rPr>
                <w:rFonts w:hint="eastAsia" w:ascii="Times New Roman"/>
                <w:sz w:val="22"/>
                <w:lang w:val="en-US" w:eastAsia="zh-CN"/>
              </w:rPr>
              <w:t>0</w:t>
            </w:r>
          </w:p>
        </w:tc>
        <w:tc>
          <w:tcPr>
            <w:tcW w:w="658" w:type="dxa"/>
            <w:vAlign w:val="center"/>
          </w:tcPr>
          <w:p>
            <w:pPr>
              <w:pStyle w:val="6"/>
              <w:jc w:val="center"/>
              <w:rPr>
                <w:rFonts w:ascii="Times New Roman"/>
                <w:sz w:val="26"/>
              </w:rPr>
            </w:pPr>
            <w:r>
              <w:rPr>
                <w:rFonts w:hint="eastAsia" w:ascii="Times New Roman"/>
                <w:sz w:val="22"/>
                <w:lang w:val="en-US" w:eastAsia="zh-CN"/>
              </w:rPr>
              <w:t>0</w:t>
            </w:r>
          </w:p>
        </w:tc>
        <w:tc>
          <w:tcPr>
            <w:tcW w:w="550"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5" w:type="dxa"/>
            <w:vAlign w:val="center"/>
          </w:tcPr>
          <w:p>
            <w:pPr>
              <w:pStyle w:val="6"/>
              <w:jc w:val="center"/>
              <w:rPr>
                <w:rFonts w:ascii="Times New Roman"/>
                <w:sz w:val="26"/>
              </w:rPr>
            </w:pPr>
            <w:r>
              <w:rPr>
                <w:rFonts w:hint="eastAsia" w:ascii="Times New Roman"/>
                <w:sz w:val="22"/>
                <w:lang w:val="en-US" w:eastAsia="zh-CN"/>
              </w:rPr>
              <w:t>0</w:t>
            </w:r>
          </w:p>
        </w:tc>
        <w:tc>
          <w:tcPr>
            <w:tcW w:w="606" w:type="dxa"/>
            <w:vAlign w:val="center"/>
          </w:tcPr>
          <w:p>
            <w:pPr>
              <w:pStyle w:val="6"/>
              <w:jc w:val="center"/>
              <w:rPr>
                <w:rFonts w:ascii="Times New Roman"/>
                <w:sz w:val="26"/>
              </w:rPr>
            </w:pPr>
            <w:r>
              <w:rPr>
                <w:rFonts w:hint="eastAsia" w:ascii="Times New Roman"/>
                <w:sz w:val="22"/>
                <w:lang w:val="en-US" w:eastAsia="zh-CN"/>
              </w:rPr>
              <w:t>0</w:t>
            </w:r>
          </w:p>
        </w:tc>
        <w:tc>
          <w:tcPr>
            <w:tcW w:w="606" w:type="dxa"/>
            <w:vAlign w:val="center"/>
          </w:tcPr>
          <w:p>
            <w:pPr>
              <w:pStyle w:val="6"/>
              <w:jc w:val="center"/>
              <w:rPr>
                <w:rFonts w:ascii="Times New Roman"/>
                <w:sz w:val="26"/>
              </w:rPr>
            </w:pPr>
            <w:r>
              <w:rPr>
                <w:rFonts w:hint="eastAsia" w:ascii="Times New Roman"/>
                <w:sz w:val="22"/>
                <w:lang w:val="en-US" w:eastAsia="zh-CN"/>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iCs w:val="0"/>
          <w:caps w:val="0"/>
          <w:color w:val="2E332D"/>
          <w:spacing w:val="0"/>
          <w:sz w:val="24"/>
          <w:szCs w:val="24"/>
        </w:rPr>
      </w:pPr>
      <w:bookmarkStart w:id="0" w:name="_GoBack"/>
      <w:r>
        <w:rPr>
          <w:rFonts w:hint="eastAsia" w:ascii="微软雅黑" w:hAnsi="微软雅黑" w:eastAsia="微软雅黑" w:cs="微软雅黑"/>
          <w:b/>
          <w:bCs/>
          <w:i w:val="0"/>
          <w:iCs w:val="0"/>
          <w:caps w:val="0"/>
          <w:color w:val="2E332D"/>
          <w:spacing w:val="0"/>
          <w:sz w:val="24"/>
          <w:szCs w:val="24"/>
          <w:shd w:val="clear" w:fill="FFFFFF"/>
        </w:rPr>
        <w:t>五、存在的主要问题及改进情况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60" w:firstLineChars="200"/>
        <w:jc w:val="left"/>
        <w:rPr>
          <w:rFonts w:hint="eastAsia" w:ascii="仿宋_GB2312" w:hAnsi="仿宋_GB2312" w:eastAsia="仿宋_GB2312" w:cs="仿宋_GB2312"/>
          <w:i w:val="0"/>
          <w:iCs w:val="0"/>
          <w:caps w:val="0"/>
          <w:color w:val="2E332D"/>
          <w:spacing w:val="0"/>
          <w:sz w:val="28"/>
          <w:szCs w:val="28"/>
          <w:shd w:val="clear" w:fill="FFFFFF"/>
          <w:lang w:eastAsia="zh-CN"/>
        </w:rPr>
      </w:pPr>
      <w:r>
        <w:rPr>
          <w:rFonts w:hint="eastAsia" w:ascii="仿宋_GB2312" w:hAnsi="仿宋_GB2312" w:eastAsia="仿宋_GB2312" w:cs="仿宋_GB2312"/>
          <w:i w:val="0"/>
          <w:iCs w:val="0"/>
          <w:caps w:val="0"/>
          <w:color w:val="2E332D"/>
          <w:spacing w:val="0"/>
          <w:sz w:val="28"/>
          <w:szCs w:val="28"/>
          <w:shd w:val="clear" w:fill="FFFFFF"/>
        </w:rPr>
        <w:t>（一）工作中存在的主要问题和困难。在政府信息公开工作中存在</w:t>
      </w:r>
      <w:r>
        <w:rPr>
          <w:rFonts w:hint="eastAsia" w:ascii="仿宋_GB2312" w:hAnsi="仿宋_GB2312" w:eastAsia="仿宋_GB2312" w:cs="仿宋_GB2312"/>
          <w:i w:val="0"/>
          <w:iCs w:val="0"/>
          <w:caps w:val="0"/>
          <w:color w:val="2E332D"/>
          <w:spacing w:val="0"/>
          <w:sz w:val="28"/>
          <w:szCs w:val="28"/>
          <w:shd w:val="clear" w:fill="FFFFFF"/>
          <w:lang w:eastAsia="zh-CN"/>
        </w:rPr>
        <w:t>部分内容</w:t>
      </w:r>
      <w:r>
        <w:rPr>
          <w:rFonts w:hint="eastAsia" w:ascii="仿宋_GB2312" w:hAnsi="仿宋_GB2312" w:eastAsia="仿宋_GB2312" w:cs="仿宋_GB2312"/>
          <w:i w:val="0"/>
          <w:iCs w:val="0"/>
          <w:caps w:val="0"/>
          <w:color w:val="2E332D"/>
          <w:spacing w:val="0"/>
          <w:sz w:val="28"/>
          <w:szCs w:val="28"/>
          <w:shd w:val="clear" w:fill="FFFFFF"/>
        </w:rPr>
        <w:t>公开不够及时</w:t>
      </w:r>
      <w:r>
        <w:rPr>
          <w:rFonts w:hint="eastAsia" w:ascii="仿宋_GB2312" w:hAnsi="仿宋_GB2312" w:eastAsia="仿宋_GB2312" w:cs="仿宋_GB2312"/>
          <w:i w:val="0"/>
          <w:iCs w:val="0"/>
          <w:caps w:val="0"/>
          <w:color w:val="2E332D"/>
          <w:spacing w:val="0"/>
          <w:sz w:val="28"/>
          <w:szCs w:val="28"/>
          <w:shd w:val="clear" w:fill="FFFFFF"/>
          <w:lang w:eastAsia="zh-CN"/>
        </w:rPr>
        <w:t>，公开内容不全面。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60" w:firstLineChars="200"/>
        <w:jc w:val="left"/>
        <w:rPr>
          <w:rFonts w:hint="eastAsia" w:ascii="仿宋_GB2312" w:hAnsi="仿宋_GB2312" w:eastAsia="仿宋_GB2312" w:cs="仿宋_GB2312"/>
          <w:i w:val="0"/>
          <w:iCs w:val="0"/>
          <w:caps w:val="0"/>
          <w:color w:val="2E332D"/>
          <w:spacing w:val="0"/>
          <w:sz w:val="28"/>
          <w:szCs w:val="28"/>
          <w:shd w:val="clear" w:fill="FFFFFF"/>
          <w:lang w:eastAsia="zh-CN"/>
        </w:rPr>
      </w:pPr>
      <w:r>
        <w:rPr>
          <w:rFonts w:hint="eastAsia" w:ascii="仿宋_GB2312" w:hAnsi="仿宋_GB2312" w:eastAsia="仿宋_GB2312" w:cs="仿宋_GB2312"/>
          <w:i w:val="0"/>
          <w:iCs w:val="0"/>
          <w:caps w:val="0"/>
          <w:color w:val="2E332D"/>
          <w:spacing w:val="0"/>
          <w:sz w:val="28"/>
          <w:szCs w:val="28"/>
          <w:shd w:val="clear" w:fill="FFFFFF"/>
        </w:rPr>
        <w:t>（二）具体的解决办法和改进措施。</w:t>
      </w:r>
      <w:r>
        <w:rPr>
          <w:rFonts w:hint="eastAsia" w:ascii="仿宋_GB2312" w:hAnsi="仿宋_GB2312" w:eastAsia="仿宋_GB2312" w:cs="仿宋_GB2312"/>
          <w:i w:val="0"/>
          <w:iCs w:val="0"/>
          <w:caps w:val="0"/>
          <w:color w:val="2E332D"/>
          <w:spacing w:val="0"/>
          <w:sz w:val="28"/>
          <w:szCs w:val="28"/>
          <w:shd w:val="clear" w:fill="FFFFFF"/>
          <w:lang w:eastAsia="zh-CN"/>
        </w:rPr>
        <w:t>针对公开不及时问题，要</w:t>
      </w:r>
      <w:r>
        <w:rPr>
          <w:rFonts w:hint="eastAsia" w:ascii="仿宋_GB2312" w:hAnsi="仿宋_GB2312" w:eastAsia="仿宋_GB2312" w:cs="仿宋_GB2312"/>
          <w:i w:val="0"/>
          <w:iCs w:val="0"/>
          <w:caps w:val="0"/>
          <w:color w:val="2E332D"/>
          <w:spacing w:val="0"/>
          <w:sz w:val="28"/>
          <w:szCs w:val="28"/>
          <w:shd w:val="clear" w:fill="FFFFFF"/>
          <w:lang w:val="en-US" w:eastAsia="zh-CN"/>
        </w:rPr>
        <w:t>强化政府信息管理工作人员的责任意识，并计划对相关人员进行专门培训，提高信息管理工作人员的业务水平。针对公开内容不全面问题，要</w:t>
      </w:r>
      <w:r>
        <w:rPr>
          <w:rFonts w:hint="eastAsia" w:ascii="仿宋_GB2312" w:hAnsi="仿宋_GB2312" w:eastAsia="仿宋_GB2312" w:cs="仿宋_GB2312"/>
          <w:i w:val="0"/>
          <w:iCs w:val="0"/>
          <w:caps w:val="0"/>
          <w:color w:val="2E332D"/>
          <w:spacing w:val="0"/>
          <w:sz w:val="28"/>
          <w:szCs w:val="28"/>
          <w:shd w:val="clear" w:fill="FFFFFF"/>
        </w:rPr>
        <w:t>加强政务公开标准化、规范化、信息化管理，</w:t>
      </w:r>
      <w:r>
        <w:rPr>
          <w:rFonts w:hint="eastAsia" w:ascii="仿宋_GB2312" w:hAnsi="仿宋_GB2312" w:eastAsia="仿宋_GB2312" w:cs="仿宋_GB2312"/>
          <w:i w:val="0"/>
          <w:iCs w:val="0"/>
          <w:caps w:val="0"/>
          <w:color w:val="2E332D"/>
          <w:spacing w:val="0"/>
          <w:sz w:val="28"/>
          <w:szCs w:val="28"/>
          <w:shd w:val="clear" w:fill="FFFFFF"/>
          <w:lang w:val="en-US" w:eastAsia="zh-CN"/>
        </w:rPr>
        <w:t>加强对信息公开的范围、内容及规范、流程等学习培训，进一步提高信息公开的能力和水平。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iCs w:val="0"/>
          <w:caps w:val="0"/>
          <w:color w:val="2E332D"/>
          <w:spacing w:val="0"/>
          <w:sz w:val="24"/>
          <w:szCs w:val="24"/>
        </w:rPr>
      </w:pPr>
      <w:r>
        <w:rPr>
          <w:rFonts w:hint="eastAsia" w:ascii="微软雅黑" w:hAnsi="微软雅黑" w:eastAsia="微软雅黑" w:cs="微软雅黑"/>
          <w:b/>
          <w:bCs/>
          <w:i w:val="0"/>
          <w:iCs w:val="0"/>
          <w:caps w:val="0"/>
          <w:color w:val="2E332D"/>
          <w:spacing w:val="0"/>
          <w:sz w:val="24"/>
          <w:szCs w:val="24"/>
          <w:shd w:val="clear" w:fill="FFFFFF"/>
        </w:rPr>
        <w:t>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仿宋_GB2312" w:hAnsi="仿宋_GB2312" w:eastAsia="仿宋_GB2312" w:cs="仿宋_GB2312"/>
          <w:i w:val="0"/>
          <w:iCs w:val="0"/>
          <w:caps w:val="0"/>
          <w:color w:val="2E332D"/>
          <w:spacing w:val="0"/>
          <w:sz w:val="28"/>
          <w:szCs w:val="28"/>
          <w:shd w:val="clear" w:fill="FFFFFF"/>
          <w:lang w:val="en-US" w:eastAsia="zh-CN"/>
        </w:rPr>
      </w:pPr>
      <w:r>
        <w:rPr>
          <w:rFonts w:hint="default" w:ascii="Times New Roman" w:hAnsi="Times New Roman" w:eastAsia="仿宋_GB2312" w:cs="Times New Roman"/>
          <w:i w:val="0"/>
          <w:iCs w:val="0"/>
          <w:caps w:val="0"/>
          <w:color w:val="2E332D"/>
          <w:spacing w:val="0"/>
          <w:sz w:val="28"/>
          <w:szCs w:val="28"/>
          <w:shd w:val="clear" w:fill="FFFFFF"/>
          <w:lang w:val="en-US" w:eastAsia="zh-CN"/>
        </w:rPr>
        <w:t>1</w:t>
      </w:r>
      <w:r>
        <w:rPr>
          <w:rFonts w:hint="eastAsia" w:ascii="仿宋_GB2312" w:hAnsi="仿宋_GB2312" w:eastAsia="仿宋_GB2312" w:cs="仿宋_GB2312"/>
          <w:i w:val="0"/>
          <w:iCs w:val="0"/>
          <w:caps w:val="0"/>
          <w:color w:val="2E332D"/>
          <w:spacing w:val="0"/>
          <w:sz w:val="28"/>
          <w:szCs w:val="28"/>
          <w:shd w:val="clear" w:fill="FFFFFF"/>
          <w:lang w:val="en-US" w:eastAsia="zh-CN"/>
        </w:rPr>
        <w:t>.</w:t>
      </w:r>
      <w:r>
        <w:rPr>
          <w:rFonts w:hint="default" w:ascii="Times New Roman" w:hAnsi="Times New Roman" w:eastAsia="仿宋_GB2312" w:cs="Times New Roman"/>
          <w:i w:val="0"/>
          <w:iCs w:val="0"/>
          <w:caps w:val="0"/>
          <w:color w:val="2E332D"/>
          <w:spacing w:val="0"/>
          <w:sz w:val="28"/>
          <w:szCs w:val="28"/>
          <w:shd w:val="clear" w:fill="FFFFFF"/>
          <w:lang w:val="en-US" w:eastAsia="zh-CN"/>
        </w:rPr>
        <w:t>2021</w:t>
      </w:r>
      <w:r>
        <w:rPr>
          <w:rFonts w:hint="eastAsia" w:ascii="仿宋_GB2312" w:hAnsi="仿宋_GB2312" w:eastAsia="仿宋_GB2312" w:cs="仿宋_GB2312"/>
          <w:i w:val="0"/>
          <w:iCs w:val="0"/>
          <w:caps w:val="0"/>
          <w:color w:val="2E332D"/>
          <w:spacing w:val="0"/>
          <w:sz w:val="28"/>
          <w:szCs w:val="28"/>
          <w:shd w:val="clear" w:fill="FFFFFF"/>
          <w:lang w:val="en-US" w:eastAsia="zh-CN"/>
        </w:rPr>
        <w:t>年度人大代表建议和政协委员提案办理情况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仿宋_GB2312" w:hAnsi="仿宋_GB2312" w:eastAsia="仿宋_GB2312" w:cs="仿宋_GB2312"/>
          <w:i w:val="0"/>
          <w:iCs w:val="0"/>
          <w:caps w:val="0"/>
          <w:color w:val="2E332D"/>
          <w:spacing w:val="0"/>
          <w:sz w:val="28"/>
          <w:szCs w:val="28"/>
          <w:shd w:val="clear" w:fill="FFFFFF"/>
          <w:lang w:val="en-US" w:eastAsia="zh-CN"/>
        </w:rPr>
      </w:pPr>
      <w:r>
        <w:rPr>
          <w:rFonts w:hint="eastAsia" w:ascii="仿宋_GB2312" w:hAnsi="仿宋_GB2312" w:eastAsia="仿宋_GB2312" w:cs="仿宋_GB2312"/>
          <w:i w:val="0"/>
          <w:iCs w:val="0"/>
          <w:caps w:val="0"/>
          <w:color w:val="2E332D"/>
          <w:spacing w:val="0"/>
          <w:sz w:val="28"/>
          <w:szCs w:val="28"/>
          <w:shd w:val="clear" w:fill="FFFFFF"/>
          <w:lang w:val="en-US" w:eastAsia="zh-CN"/>
        </w:rPr>
        <w:t>办理本级人大代表建议和政协委员提案共3件，所有提案已全部采纳并按期办结。人大代表建议和政协委员提案办理情况均在张店区人民政府门户网站公开发布。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default" w:ascii="Times New Roman" w:hAnsi="Times New Roman" w:eastAsia="仿宋_GB2312" w:cs="Times New Roman"/>
          <w:i w:val="0"/>
          <w:iCs w:val="0"/>
          <w:caps w:val="0"/>
          <w:color w:val="2E332D"/>
          <w:spacing w:val="0"/>
          <w:sz w:val="28"/>
          <w:szCs w:val="28"/>
          <w:shd w:val="clear" w:fill="FFFFFF"/>
          <w:lang w:val="en-US" w:eastAsia="zh-CN"/>
        </w:rPr>
      </w:pPr>
      <w:r>
        <w:rPr>
          <w:rFonts w:hint="default" w:ascii="Times New Roman" w:hAnsi="Times New Roman" w:eastAsia="仿宋_GB2312" w:cs="Times New Roman"/>
          <w:i w:val="0"/>
          <w:iCs w:val="0"/>
          <w:caps w:val="0"/>
          <w:color w:val="2E332D"/>
          <w:spacing w:val="0"/>
          <w:sz w:val="28"/>
          <w:szCs w:val="28"/>
          <w:shd w:val="clear" w:fill="FFFFFF"/>
          <w:lang w:val="en-US" w:eastAsia="zh-CN"/>
        </w:rPr>
        <w:t>2.本报</w:t>
      </w:r>
      <w:r>
        <w:rPr>
          <w:rFonts w:hint="eastAsia" w:ascii="Times New Roman" w:hAnsi="Times New Roman" w:eastAsia="仿宋_GB2312" w:cs="Times New Roman"/>
          <w:i w:val="0"/>
          <w:iCs w:val="0"/>
          <w:caps w:val="0"/>
          <w:color w:val="2E332D"/>
          <w:spacing w:val="0"/>
          <w:sz w:val="28"/>
          <w:szCs w:val="28"/>
          <w:shd w:val="clear" w:fill="FFFFFF"/>
          <w:lang w:val="en-US" w:eastAsia="zh-CN"/>
        </w:rPr>
        <w:t>告</w:t>
      </w:r>
      <w:r>
        <w:rPr>
          <w:rFonts w:hint="default" w:ascii="Times New Roman" w:hAnsi="Times New Roman" w:eastAsia="仿宋_GB2312" w:cs="Times New Roman"/>
          <w:i w:val="0"/>
          <w:iCs w:val="0"/>
          <w:caps w:val="0"/>
          <w:color w:val="2E332D"/>
          <w:spacing w:val="0"/>
          <w:sz w:val="28"/>
          <w:szCs w:val="28"/>
          <w:shd w:val="clear" w:fill="FFFFFF"/>
          <w:lang w:val="en-US" w:eastAsia="zh-CN"/>
        </w:rPr>
        <w:t>所列数据的统计期限自2021年1月1日起</w:t>
      </w:r>
      <w:r>
        <w:rPr>
          <w:rFonts w:hint="eastAsia" w:ascii="Times New Roman" w:hAnsi="Times New Roman" w:eastAsia="仿宋_GB2312" w:cs="Times New Roman"/>
          <w:i w:val="0"/>
          <w:iCs w:val="0"/>
          <w:caps w:val="0"/>
          <w:color w:val="2E332D"/>
          <w:spacing w:val="0"/>
          <w:sz w:val="28"/>
          <w:szCs w:val="28"/>
          <w:shd w:val="clear" w:fill="FFFFFF"/>
          <w:lang w:val="en-US" w:eastAsia="zh-CN"/>
        </w:rPr>
        <w:t>，</w:t>
      </w:r>
      <w:r>
        <w:rPr>
          <w:rFonts w:hint="default" w:ascii="Times New Roman" w:hAnsi="Times New Roman" w:eastAsia="仿宋_GB2312" w:cs="Times New Roman"/>
          <w:i w:val="0"/>
          <w:iCs w:val="0"/>
          <w:caps w:val="0"/>
          <w:color w:val="2E332D"/>
          <w:spacing w:val="0"/>
          <w:sz w:val="28"/>
          <w:szCs w:val="28"/>
          <w:shd w:val="clear" w:fill="FFFFFF"/>
          <w:lang w:val="en-US" w:eastAsia="zh-CN"/>
        </w:rPr>
        <w:t>至12月31日止。</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right"/>
        <w:rPr>
          <w:rFonts w:hint="eastAsia" w:ascii="仿宋_GB2312" w:hAnsi="仿宋_GB2312" w:eastAsia="仿宋_GB2312" w:cs="仿宋_GB2312"/>
          <w:i w:val="0"/>
          <w:iCs w:val="0"/>
          <w:caps w:val="0"/>
          <w:color w:val="2E332D"/>
          <w:spacing w:val="0"/>
          <w:sz w:val="28"/>
          <w:szCs w:val="28"/>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right"/>
        <w:rPr>
          <w:rFonts w:hint="eastAsia" w:ascii="仿宋_GB2312" w:hAnsi="仿宋_GB2312" w:eastAsia="仿宋_GB2312" w:cs="仿宋_GB2312"/>
          <w:i w:val="0"/>
          <w:iCs w:val="0"/>
          <w:caps w:val="0"/>
          <w:color w:val="2E332D"/>
          <w:spacing w:val="0"/>
          <w:sz w:val="28"/>
          <w:szCs w:val="28"/>
          <w:shd w:val="clear" w:fill="FFFFFF"/>
          <w:lang w:eastAsia="zh-CN"/>
        </w:rPr>
      </w:pPr>
      <w:r>
        <w:rPr>
          <w:rFonts w:hint="eastAsia" w:ascii="仿宋_GB2312" w:hAnsi="仿宋_GB2312" w:eastAsia="仿宋_GB2312" w:cs="仿宋_GB2312"/>
          <w:i w:val="0"/>
          <w:iCs w:val="0"/>
          <w:caps w:val="0"/>
          <w:color w:val="2E332D"/>
          <w:spacing w:val="0"/>
          <w:sz w:val="28"/>
          <w:szCs w:val="28"/>
          <w:shd w:val="clear" w:fill="FFFFFF"/>
          <w:lang w:eastAsia="zh-CN"/>
        </w:rPr>
        <w:t>淄博新区建设发展服务中心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center"/>
        <w:rPr>
          <w:rFonts w:hint="eastAsia" w:ascii="仿宋_GB2312" w:hAnsi="仿宋_GB2312" w:eastAsia="仿宋_GB2312" w:cs="仿宋_GB2312"/>
          <w:i w:val="0"/>
          <w:iCs w:val="0"/>
          <w:caps w:val="0"/>
          <w:color w:val="2E332D"/>
          <w:spacing w:val="0"/>
          <w:sz w:val="28"/>
          <w:szCs w:val="28"/>
          <w:shd w:val="clear" w:fill="FFFFFF"/>
          <w:lang w:val="en-US" w:eastAsia="zh-CN"/>
        </w:rPr>
      </w:pPr>
      <w:r>
        <w:rPr>
          <w:rFonts w:hint="eastAsia" w:ascii="仿宋_GB2312" w:hAnsi="仿宋_GB2312" w:eastAsia="仿宋_GB2312" w:cs="仿宋_GB2312"/>
          <w:i w:val="0"/>
          <w:iCs w:val="0"/>
          <w:caps w:val="0"/>
          <w:color w:val="2E332D"/>
          <w:spacing w:val="0"/>
          <w:sz w:val="28"/>
          <w:szCs w:val="28"/>
          <w:shd w:val="clear" w:fill="FFFFFF"/>
          <w:lang w:val="en-US" w:eastAsia="zh-CN"/>
        </w:rPr>
        <w:t xml:space="preserve">                                2021年1月21日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D41ED"/>
    <w:multiLevelType w:val="singleLevel"/>
    <w:tmpl w:val="9F2D41ED"/>
    <w:lvl w:ilvl="0" w:tentative="0">
      <w:start w:val="1"/>
      <w:numFmt w:val="chineseCounting"/>
      <w:suff w:val="nothing"/>
      <w:lvlText w:val="%1、"/>
      <w:lvlJc w:val="left"/>
      <w:rPr>
        <w:rFonts w:hint="eastAsia"/>
      </w:rPr>
    </w:lvl>
  </w:abstractNum>
  <w:abstractNum w:abstractNumId="1">
    <w:nsid w:val="C3B6D1A3"/>
    <w:multiLevelType w:val="singleLevel"/>
    <w:tmpl w:val="C3B6D1A3"/>
    <w:lvl w:ilvl="0" w:tentative="0">
      <w:start w:val="1"/>
      <w:numFmt w:val="chineseCounting"/>
      <w:suff w:val="nothing"/>
      <w:lvlText w:val="（%1）"/>
      <w:lvlJc w:val="left"/>
      <w:rPr>
        <w:rFonts w:hint="eastAsia"/>
      </w:rPr>
    </w:lvl>
  </w:abstractNum>
  <w:abstractNum w:abstractNumId="2">
    <w:nsid w:val="3688F0CE"/>
    <w:multiLevelType w:val="singleLevel"/>
    <w:tmpl w:val="3688F0CE"/>
    <w:lvl w:ilvl="0" w:tentative="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F5C1F"/>
    <w:rsid w:val="01EA78B8"/>
    <w:rsid w:val="028956F5"/>
    <w:rsid w:val="062A64C0"/>
    <w:rsid w:val="082B294D"/>
    <w:rsid w:val="08AC5C9E"/>
    <w:rsid w:val="09481618"/>
    <w:rsid w:val="0C9B6797"/>
    <w:rsid w:val="11B85B3D"/>
    <w:rsid w:val="13A73456"/>
    <w:rsid w:val="16215B2A"/>
    <w:rsid w:val="17D36301"/>
    <w:rsid w:val="18471D3D"/>
    <w:rsid w:val="18FD4E29"/>
    <w:rsid w:val="194C013A"/>
    <w:rsid w:val="1B8E7962"/>
    <w:rsid w:val="1D2A27C1"/>
    <w:rsid w:val="1EB332E1"/>
    <w:rsid w:val="1F9C0E0A"/>
    <w:rsid w:val="20BD1B70"/>
    <w:rsid w:val="257D7DCE"/>
    <w:rsid w:val="263A2B6C"/>
    <w:rsid w:val="276E2ACE"/>
    <w:rsid w:val="27CD4CCF"/>
    <w:rsid w:val="2F013C21"/>
    <w:rsid w:val="308E20A1"/>
    <w:rsid w:val="32E56711"/>
    <w:rsid w:val="337509A3"/>
    <w:rsid w:val="3445170B"/>
    <w:rsid w:val="34613106"/>
    <w:rsid w:val="377D2043"/>
    <w:rsid w:val="38852FD0"/>
    <w:rsid w:val="39043D83"/>
    <w:rsid w:val="3A0168D3"/>
    <w:rsid w:val="3A8F71F9"/>
    <w:rsid w:val="3B2A16EC"/>
    <w:rsid w:val="3BA75327"/>
    <w:rsid w:val="3CCA261A"/>
    <w:rsid w:val="3E5E1696"/>
    <w:rsid w:val="41AC096A"/>
    <w:rsid w:val="421257A1"/>
    <w:rsid w:val="431631E9"/>
    <w:rsid w:val="436E5EB8"/>
    <w:rsid w:val="44C543FF"/>
    <w:rsid w:val="45893553"/>
    <w:rsid w:val="482C45B3"/>
    <w:rsid w:val="492210AD"/>
    <w:rsid w:val="4B9E0DC9"/>
    <w:rsid w:val="549332C4"/>
    <w:rsid w:val="54BA4CF5"/>
    <w:rsid w:val="58437703"/>
    <w:rsid w:val="59512662"/>
    <w:rsid w:val="5E2E0D9C"/>
    <w:rsid w:val="5E5C229F"/>
    <w:rsid w:val="5FB6273D"/>
    <w:rsid w:val="6009550A"/>
    <w:rsid w:val="648C2851"/>
    <w:rsid w:val="651E3263"/>
    <w:rsid w:val="667A2B85"/>
    <w:rsid w:val="66B12615"/>
    <w:rsid w:val="674312B7"/>
    <w:rsid w:val="68E6311C"/>
    <w:rsid w:val="69323203"/>
    <w:rsid w:val="6EBE56B6"/>
    <w:rsid w:val="707A1AB0"/>
    <w:rsid w:val="714865E5"/>
    <w:rsid w:val="7173269C"/>
    <w:rsid w:val="73A70807"/>
    <w:rsid w:val="77C56C4E"/>
    <w:rsid w:val="784F3822"/>
    <w:rsid w:val="78A765AF"/>
    <w:rsid w:val="795B7FA5"/>
    <w:rsid w:val="79EB10E0"/>
    <w:rsid w:val="7AB1337A"/>
    <w:rsid w:val="7F4F4108"/>
    <w:rsid w:val="7FA40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方正小标宋简体" w:hAnsi="方正小标宋简体" w:eastAsia="方正小标宋简体" w:cs="方正小标宋简体"/>
      <w:sz w:val="44"/>
      <w:szCs w:val="44"/>
      <w:lang w:val="zh-CN" w:eastAsia="zh-CN" w:bidi="zh-CN"/>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80" b="0" i="0" u="none" strike="noStrike" kern="1200" spc="0" baseline="0">
                <a:solidFill>
                  <a:schemeClr val="tx1">
                    <a:lumMod val="65000"/>
                    <a:lumOff val="35000"/>
                  </a:schemeClr>
                </a:solidFill>
                <a:latin typeface="仿宋_GB2312" panose="02010609030101010101" charset="-122"/>
                <a:ea typeface="仿宋_GB2312" panose="02010609030101010101" charset="-122"/>
                <a:cs typeface="仿宋_GB2312" panose="02010609030101010101" charset="-122"/>
                <a:sym typeface="仿宋_GB2312" panose="02010609030101010101" charset="-122"/>
              </a:defRPr>
            </a:pPr>
            <a:r>
              <a:rPr lang="en-US" altLang="zh-CN" sz="1680">
                <a:latin typeface="仿宋_GB2312" panose="02010609030101010101" charset="-122"/>
                <a:ea typeface="仿宋_GB2312" panose="02010609030101010101" charset="-122"/>
                <a:cs typeface="仿宋_GB2312" panose="02010609030101010101" charset="-122"/>
                <a:sym typeface="仿宋_GB2312" panose="02010609030101010101" charset="-122"/>
              </a:rPr>
              <a:t>2021</a:t>
            </a:r>
            <a:r>
              <a:rPr altLang="en-US" sz="1680">
                <a:latin typeface="仿宋_GB2312" panose="02010609030101010101" charset="-122"/>
                <a:ea typeface="仿宋_GB2312" panose="02010609030101010101" charset="-122"/>
                <a:cs typeface="仿宋_GB2312" panose="02010609030101010101" charset="-122"/>
                <a:sym typeface="仿宋_GB2312" panose="02010609030101010101" charset="-122"/>
              </a:rPr>
              <a:t>年度政府信息依申请公开办理情况</a:t>
            </a:r>
            <a:endParaRPr altLang="en-US" sz="1680">
              <a:latin typeface="仿宋_GB2312" panose="02010609030101010101" charset="-122"/>
              <a:ea typeface="仿宋_GB2312" panose="02010609030101010101" charset="-122"/>
              <a:cs typeface="仿宋_GB2312" panose="02010609030101010101" charset="-122"/>
              <a:sym typeface="仿宋_GB2312" panose="02010609030101010101" charset="-122"/>
            </a:endParaRPr>
          </a:p>
        </c:rich>
      </c:tx>
      <c:layout>
        <c:manualLayout>
          <c:xMode val="edge"/>
          <c:yMode val="edge"/>
          <c:x val="0.138125"/>
          <c:y val="0.02"/>
        </c:manualLayout>
      </c:layout>
      <c:overlay val="0"/>
      <c:spPr>
        <a:noFill/>
        <a:ln>
          <a:noFill/>
        </a:ln>
        <a:effectLst/>
      </c:spPr>
    </c:title>
    <c:autoTitleDeleted val="0"/>
    <c:plotArea>
      <c:layout/>
      <c:pieChart>
        <c:varyColors val="1"/>
        <c:ser>
          <c:idx val="0"/>
          <c:order val="0"/>
          <c:tx>
            <c:strRef>
              <c:f>Sheet1!$B$1</c:f>
              <c:strCache>
                <c:ptCount val="1"/>
                <c:pt idx="0">
                  <c:v>销售额</c:v>
                </c:pt>
              </c:strCache>
            </c:strRef>
          </c:tx>
          <c:spPr>
            <a:solidFill>
              <a:schemeClr val="accent2"/>
            </a:solidFill>
          </c:spPr>
          <c:explosion val="0"/>
          <c:dPt>
            <c:idx val="0"/>
            <c:bubble3D val="0"/>
            <c:spPr>
              <a:solidFill>
                <a:schemeClr val="accent2"/>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2"/>
              </a:solidFill>
              <a:ln w="19050">
                <a:solidFill>
                  <a:schemeClr val="lt1"/>
                </a:solidFill>
              </a:ln>
              <a:effectLst/>
            </c:spPr>
          </c:dPt>
          <c:dPt>
            <c:idx val="3"/>
            <c:bubble3D val="0"/>
            <c:spPr>
              <a:solidFill>
                <a:schemeClr val="accent2"/>
              </a:solidFill>
              <a:ln w="19050">
                <a:solidFill>
                  <a:schemeClr val="lt1"/>
                </a:solidFill>
              </a:ln>
              <a:effectLst/>
            </c:spPr>
          </c:dPt>
          <c:dLbls>
            <c:dLbl>
              <c:idx val="0"/>
              <c:layout>
                <c:manualLayout>
                  <c:x val="0.00449907288681897"/>
                  <c:y val="-0.197575434749918"/>
                </c:manualLayout>
              </c:layout>
              <c:tx>
                <c:rich>
                  <a:bodyPr rot="0" spcFirstLastPara="0" vertOverflow="ellipsis" vert="horz" wrap="square" lIns="38100" tIns="19050" rIns="38100" bIns="19050" anchor="ctr" anchorCtr="1"/>
                  <a:lstStyle/>
                  <a:p>
                    <a:pPr defTabSz="914400">
                      <a:defRPr lang="zh-CN" sz="1400" b="0" i="0" u="none" strike="noStrike" kern="1200" baseline="0">
                        <a:solidFill>
                          <a:schemeClr val="tx1">
                            <a:lumMod val="75000"/>
                            <a:lumOff val="25000"/>
                          </a:schemeClr>
                        </a:solidFill>
                        <a:latin typeface="仿宋_GB2312" panose="02010609030101010101" charset="-122"/>
                        <a:ea typeface="仿宋_GB2312" panose="02010609030101010101" charset="-122"/>
                        <a:cs typeface="仿宋_GB2312" panose="02010609030101010101" charset="-122"/>
                        <a:sym typeface="仿宋_GB2312" panose="02010609030101010101" charset="-122"/>
                      </a:defRPr>
                    </a:pPr>
                    <a:r>
                      <a:rPr sz="1400">
                        <a:latin typeface="仿宋_GB2312" panose="02010609030101010101" charset="-122"/>
                        <a:ea typeface="仿宋_GB2312" panose="02010609030101010101" charset="-122"/>
                        <a:cs typeface="仿宋_GB2312" panose="02010609030101010101" charset="-122"/>
                        <a:sym typeface="仿宋_GB2312" panose="02010609030101010101" charset="-122"/>
                      </a:rPr>
                      <a:t>无政府信息申请公开办理</a:t>
                    </a:r>
                    <a:r>
                      <a:rPr lang="en-US" altLang="zh-CN" sz="1400">
                        <a:latin typeface="仿宋_GB2312" panose="02010609030101010101" charset="-122"/>
                        <a:ea typeface="仿宋_GB2312" panose="02010609030101010101" charset="-122"/>
                        <a:cs typeface="仿宋_GB2312" panose="02010609030101010101" charset="-122"/>
                        <a:sym typeface="仿宋_GB2312" panose="02010609030101010101" charset="-122"/>
                      </a:rPr>
                      <a:t>100%</a:t>
                    </a:r>
                    <a:endParaRPr lang="en-US" altLang="zh-CN" sz="1400">
                      <a:latin typeface="仿宋_GB2312" panose="02010609030101010101" charset="-122"/>
                      <a:ea typeface="仿宋_GB2312" panose="02010609030101010101" charset="-122"/>
                      <a:cs typeface="仿宋_GB2312" panose="02010609030101010101" charset="-122"/>
                      <a:sym typeface="仿宋_GB2312" panose="02010609030101010101" charset="-122"/>
                    </a:endParaRPr>
                  </a:p>
                </c:rich>
              </c:tx>
              <c:dLblPos val="bestFit"/>
              <c:showLegendKey val="0"/>
              <c:showVal val="1"/>
              <c:showCatName val="0"/>
              <c:showSerName val="0"/>
              <c:showPercent val="0"/>
              <c:showBubbleSize val="0"/>
              <c:extLst>
                <c:ext xmlns:c15="http://schemas.microsoft.com/office/drawing/2012/chart" uri="{CE6537A1-D6FC-4f65-9D91-7224C49458BB}">
                  <c15:layout>
                    <c:manualLayout>
                      <c:w val="0.344625"/>
                      <c:h val="0.193666666666667"/>
                    </c:manualLayout>
                  </c15:layout>
                </c:ext>
              </c:extLst>
            </c:dLbl>
            <c:dLbl>
              <c:idx val="1"/>
              <c:delete val="1"/>
            </c:dLbl>
            <c:dLbl>
              <c:idx val="2"/>
              <c:delete val="1"/>
            </c:dLbl>
            <c:dLbl>
              <c:idx val="3"/>
              <c:delete val="1"/>
            </c:dLbl>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仿宋_GB2312" panose="02010609030101010101" charset="-122"/>
                    <a:ea typeface="仿宋_GB2312" panose="02010609030101010101" charset="-122"/>
                    <a:cs typeface="仿宋_GB2312" panose="02010609030101010101" charset="-122"/>
                    <a:sym typeface="仿宋_GB2312" panose="02010609030101010101" charset="-122"/>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第一季度</c:v>
                </c:pt>
              </c:strCache>
            </c:strRef>
          </c:cat>
          <c:val>
            <c:numRef>
              <c:f>Sheet1!$B$2:$B$5</c:f>
              <c:numCache>
                <c:formatCode>General</c:formatCode>
                <c:ptCount val="4"/>
                <c:pt idx="0">
                  <c:v>10</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400">
          <a:latin typeface="仿宋_GB2312" panose="02010609030101010101" charset="-122"/>
          <a:ea typeface="仿宋_GB2312" panose="02010609030101010101" charset="-122"/>
          <a:cs typeface="仿宋_GB2312" panose="02010609030101010101" charset="-122"/>
          <a:sym typeface="仿宋_GB2312" panose="02010609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Rachel</cp:lastModifiedBy>
  <cp:lastPrinted>2022-03-09T09:26:59Z</cp:lastPrinted>
  <dcterms:modified xsi:type="dcterms:W3CDTF">2022-03-09T09:40:33Z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EC0C55559718469C8FFB383603F99BB2</vt:lpwstr>
  </property>
</Properties>
</file>