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shd w:val="clear" w:color="auto" w:fill="FFFFFF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shd w:val="clear" w:color="auto" w:fill="FFFFFF"/>
          <w:lang w:eastAsia="zh-CN"/>
        </w:rPr>
        <w:t>张店区园林绿化服务中心</w:t>
      </w:r>
    </w:p>
    <w:p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shd w:val="clear" w:color="auto" w:fill="FFFFFF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shd w:val="clear" w:color="auto" w:fill="FFFFFF"/>
          <w:lang w:val="en-US" w:eastAsia="zh-CN"/>
        </w:rPr>
        <w:t>2020年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shd w:val="clear" w:color="auto" w:fill="FFFFFF"/>
        </w:rPr>
        <w:t>政府信息公开工作年度报告</w:t>
      </w:r>
    </w:p>
    <w:p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center"/>
        <w:textAlignment w:val="auto"/>
        <w:rPr>
          <w:rFonts w:hint="default" w:ascii="方正小标宋简体" w:hAnsi="方正小标宋简体" w:eastAsia="方正小标宋简体" w:cs="方正小标宋简体"/>
          <w:color w:val="auto"/>
          <w:sz w:val="44"/>
          <w:szCs w:val="44"/>
          <w:shd w:val="clear" w:color="auto" w:fill="FFFFFF"/>
        </w:rPr>
      </w:pPr>
    </w:p>
    <w:p>
      <w:pPr>
        <w:pStyle w:val="4"/>
        <w:keepNext w:val="0"/>
        <w:keepLines w:val="0"/>
        <w:pageBreakBefore w:val="0"/>
        <w:widowControl/>
        <w:numPr>
          <w:ilvl w:val="0"/>
          <w:numId w:val="1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/>
        <w:jc w:val="both"/>
        <w:textAlignment w:val="auto"/>
        <w:rPr>
          <w:rFonts w:hint="default" w:ascii="Times New Roman" w:hAnsi="Times New Roman" w:eastAsia="黑体" w:cs="Times New Roman"/>
          <w:color w:val="auto"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shd w:val="clear" w:color="auto" w:fill="FFFFFF"/>
        </w:rPr>
        <w:t>总体情况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FFFFFF"/>
        </w:rPr>
        <w:t>20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FFFFFF"/>
          <w:lang w:val="en-US" w:eastAsia="zh-CN"/>
        </w:rPr>
        <w:t>20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FFFFFF"/>
        </w:rPr>
        <w:t>年，张店区园林绿化服务中心认真贯彻落实《中华人民共和国政府信息公开条例》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FFFFFF"/>
          <w:lang w:eastAsia="zh-CN"/>
        </w:rPr>
        <w:t>以及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FFFFFF"/>
        </w:rPr>
        <w:t>张店区政府信息工作的有关文件精神，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坚持“公开是原则，不公开是例外”的原则，健全工作机制、创新公开形式、完善公开内容，全面促进我服务中心政务公开工作的常态化、制度化、规范化，提升全中心“互联网+政务公开”水平，为人民群众提供优质便捷高效服务。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2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jc w:val="both"/>
        <w:textAlignment w:val="auto"/>
        <w:rPr>
          <w:rFonts w:hint="eastAsia" w:ascii="楷体_GB2312" w:hAnsi="楷体_GB2312" w:eastAsia="楷体_GB2312" w:cs="楷体_GB2312"/>
          <w:color w:val="auto"/>
          <w:sz w:val="32"/>
          <w:szCs w:val="32"/>
          <w:shd w:val="clear" w:color="auto" w:fill="FFFFFF"/>
          <w:lang w:eastAsia="zh-CN"/>
        </w:rPr>
      </w:pPr>
      <w:r>
        <w:rPr>
          <w:rFonts w:hint="eastAsia" w:ascii="楷体_GB2312" w:hAnsi="楷体_GB2312" w:eastAsia="楷体_GB2312" w:cs="楷体_GB2312"/>
          <w:color w:val="auto"/>
          <w:sz w:val="32"/>
          <w:szCs w:val="32"/>
          <w:shd w:val="clear" w:color="auto" w:fill="FFFFFF"/>
          <w:lang w:eastAsia="zh-CN"/>
        </w:rPr>
        <w:t>主动公开政府信息情况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FFFFFF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FFFFFF"/>
          <w:lang w:eastAsia="zh-CN"/>
        </w:rPr>
        <w:t>2020年1月1日至2020年12月31日，我中心在政务公开网站中主动发布政府信息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FFFFFF"/>
          <w:lang w:val="en-US" w:eastAsia="zh-CN"/>
        </w:rPr>
        <w:t>169条。其中公开政策文件9条、规范性文件清理结果1条、机构职能1条、领导信息1条、规划计划12条、会议公开6条、建议提案10条、财政信息3条、重点领域信息公开63条、政策解读2条、人事信息1条、业务动态15条等。进一步畅通了政府与人民群众的联系渠道，切实保障人民群众的知情权、参与权和监督权。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jc w:val="both"/>
        <w:textAlignment w:val="auto"/>
        <w:rPr>
          <w:rFonts w:hint="eastAsia" w:ascii="楷体_GB2312" w:hAnsi="楷体_GB2312" w:eastAsia="楷体_GB2312" w:cs="楷体_GB2312"/>
          <w:color w:val="auto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楷体_GB2312" w:hAnsi="楷体_GB2312" w:eastAsia="楷体_GB2312" w:cs="楷体_GB2312"/>
          <w:color w:val="auto"/>
          <w:sz w:val="32"/>
          <w:szCs w:val="32"/>
          <w:shd w:val="clear" w:color="auto" w:fill="FFFFFF"/>
          <w:lang w:val="en-US" w:eastAsia="zh-CN"/>
        </w:rPr>
        <w:t>（二）依申请公开政府信息情况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FFFFFF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FFFFFF"/>
          <w:lang w:val="en-US" w:eastAsia="zh-CN"/>
        </w:rPr>
        <w:t>2020年1月1日至2020年12月31日，区园林绿化服务中心未收到通过受理电话、网络平台、来信等方式提出的相关政府信息依申请公开。做到完善依申请公开制度，全面规范受理、审查、处理、答复及存档程序，畅通依申请公开政府信息及相关行政复议、诉讼渠道。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Chars="200"/>
        <w:jc w:val="both"/>
        <w:textAlignment w:val="auto"/>
        <w:rPr>
          <w:rFonts w:hint="eastAsia" w:ascii="楷体_GB2312" w:hAnsi="楷体_GB2312" w:eastAsia="楷体_GB2312" w:cs="楷体_GB2312"/>
          <w:color w:val="auto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楷体_GB2312" w:hAnsi="楷体_GB2312" w:eastAsia="楷体_GB2312" w:cs="楷体_GB2312"/>
          <w:color w:val="auto"/>
          <w:sz w:val="32"/>
          <w:szCs w:val="32"/>
          <w:shd w:val="clear" w:color="auto" w:fill="FFFFFF"/>
          <w:lang w:val="en-US" w:eastAsia="zh-CN"/>
        </w:rPr>
        <w:t>（三）年度政府信息管理情况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FFFFFF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FFFFFF"/>
          <w:lang w:val="en-US" w:eastAsia="zh-CN"/>
        </w:rPr>
        <w:t>我中心严格按照《中华人民共和国政府信息公开条例》《张店区2020年政务公开工作要点》《关于进一步做好区政府网站内容保障工作的通知》《张店区人民政府办公室关于政务公开工作征稿的通知》等有关要求，及时发布、主动公开政府信息，保证每条已发布信息的时效性与准确性，并积极做好政务公开工作投稿工作，截止2020年底，被淄博市人民政府网采用信息1条。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3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jc w:val="both"/>
        <w:textAlignment w:val="auto"/>
        <w:rPr>
          <w:rFonts w:hint="eastAsia" w:ascii="楷体_GB2312" w:hAnsi="楷体_GB2312" w:eastAsia="楷体_GB2312" w:cs="楷体_GB2312"/>
          <w:color w:val="auto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楷体_GB2312" w:hAnsi="楷体_GB2312" w:eastAsia="楷体_GB2312" w:cs="楷体_GB2312"/>
          <w:color w:val="auto"/>
          <w:sz w:val="32"/>
          <w:szCs w:val="32"/>
          <w:shd w:val="clear" w:color="auto" w:fill="FFFFFF"/>
          <w:lang w:val="en-US" w:eastAsia="zh-CN"/>
        </w:rPr>
        <w:t>平台、机构建设和人员情况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FFFFFF"/>
          <w:lang w:val="en-US" w:eastAsia="zh-CN"/>
        </w:rPr>
        <w:t>2020年我中心持续推进内容建设、深耕重点领域、注重互动回应等方面着手，按照《2020年上半年山东省政务公开第三方评估指标体系》《关于印发&lt;2020年张店区政务公开工作评估考核方案&gt;的通知》等文件要求，进一步完善政府网站建设，加强政府信息内容建设工作，及时发布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shd w:val="clear" w:color="auto" w:fill="FFFFFF"/>
          <w:lang w:val="en-US" w:eastAsia="zh-CN"/>
        </w:rPr>
        <w:t>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FFFFFF"/>
          <w:lang w:val="en-US" w:eastAsia="zh-CN"/>
        </w:rPr>
        <w:t>更新政务信息，确保政务信息的完整性和时效性。一是根据融公开平台培训内容，进一步熟练掌握融公开平台的操作流程，例如主动公开目录梳理、主动公开内容维护、历史数据整理迁移等，保障规范政府互联网公开平台建设；二是制定《张店区园林绿化服务中心关于调整政务公开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shd w:val="clear" w:color="auto" w:fill="FFFFFF"/>
          <w:lang w:val="en-US" w:eastAsia="zh-CN"/>
        </w:rPr>
        <w:t>工作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FFFFFF"/>
          <w:lang w:val="en-US" w:eastAsia="zh-CN"/>
        </w:rPr>
        <w:t>领导小组的通知》，及时调整政务公开工作领导小组，明确工作职责，进一步提高了政务公开队伍建设；三是加强政务公开机构建设，配齐配强政务公开工作队伍，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不断增强干部职工的政务公开意识，保障日常工作发布信息的质量与数量。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jc w:val="both"/>
        <w:textAlignment w:val="auto"/>
        <w:rPr>
          <w:rFonts w:hint="eastAsia" w:ascii="楷体_GB2312" w:hAnsi="楷体_GB2312" w:eastAsia="楷体_GB2312" w:cs="楷体_GB2312"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i w:val="0"/>
          <w:caps w:val="0"/>
          <w:color w:val="auto"/>
          <w:spacing w:val="0"/>
          <w:sz w:val="32"/>
          <w:szCs w:val="32"/>
          <w:shd w:val="clear" w:fill="FFFFFF"/>
        </w:rPr>
        <w:t>（五）政府公共信息公开监督保障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FFFFFF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FFFFFF"/>
          <w:lang w:eastAsia="zh-CN"/>
        </w:rPr>
        <w:t>一是加强组织领导。及时调整了政府信息公开工作领导小组，每季度定期召开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shd w:val="clear" w:color="auto" w:fill="FFFFFF"/>
          <w:lang w:eastAsia="zh-CN"/>
        </w:rPr>
        <w:t>专题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FFFFFF"/>
          <w:lang w:eastAsia="zh-CN"/>
        </w:rPr>
        <w:t>会议研究部署具体工作。领导小组办公室设在宣传科，具体负责我中心政府信息公开、网站建设、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shd w:val="clear" w:color="auto" w:fill="FFFFFF"/>
          <w:lang w:eastAsia="zh-CN"/>
        </w:rPr>
        <w:t>更新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FFFFFF"/>
          <w:lang w:eastAsia="zh-CN"/>
        </w:rPr>
        <w:t>维护等日常工作，安排专职人员负责政务公开，确保责任到人。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FFFFFF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FFFFFF"/>
          <w:lang w:eastAsia="zh-CN"/>
        </w:rPr>
        <w:t>二是完善工作机制。为提高我中心政府信息公开工作的规范化、制度化和科学化水平，制定了《区园林绿化服务中心信息公开制度》，确定一名专职信息员具体负责本部门的信息收集、及时准确发布等相关工作，提升了部门信息发布的质量和水平。同时加强信息审查工作以及挂网前的保密审查工作，做到应公开尽公开的同时也要保证涉密不上网、个人隐私不泄露以及不出现重大文字表述性错误。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FFFFFF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FFFFFF"/>
          <w:lang w:eastAsia="zh-CN"/>
        </w:rPr>
        <w:t>三是贯彻落实《中华人民共和国政府信息公开条例》，进一步深化政务公开工作，切实增强政务公开工作透明度，提高服务效能，全面推进决策公开、执行公开、管理公开、服务公开和结果公开，鼓励群众参与监督，积极回应关切人民群众关心的园林绿化问题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shd w:val="clear" w:color="auto" w:fill="FFFFFF"/>
          <w:lang w:eastAsia="zh-CN"/>
        </w:rPr>
        <w:t>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FFFFFF"/>
          <w:lang w:eastAsia="zh-CN"/>
        </w:rPr>
        <w:t>以公开促服务、以公开促监督、以公开促效能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shd w:val="clear" w:color="auto" w:fill="FFFFFF"/>
          <w:lang w:eastAsia="zh-CN"/>
        </w:rPr>
        <w:t>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FFFFFF"/>
          <w:lang w:eastAsia="zh-CN"/>
        </w:rPr>
        <w:t>着力提高园林工作的透明度和办事效率，努力服务群众需要，全面推动我中心政务公开工作。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jc w:val="both"/>
        <w:textAlignment w:val="auto"/>
        <w:rPr>
          <w:rFonts w:hint="eastAsia" w:ascii="楷体_GB2312" w:hAnsi="楷体_GB2312" w:eastAsia="楷体_GB2312" w:cs="楷体_GB2312"/>
          <w:color w:val="auto"/>
          <w:sz w:val="32"/>
          <w:szCs w:val="32"/>
          <w:shd w:val="clear" w:color="auto" w:fill="FFFFFF"/>
          <w:lang w:eastAsia="zh-CN"/>
        </w:rPr>
      </w:pPr>
      <w:r>
        <w:rPr>
          <w:rFonts w:hint="eastAsia" w:ascii="楷体_GB2312" w:hAnsi="楷体_GB2312" w:eastAsia="楷体_GB2312" w:cs="楷体_GB2312"/>
          <w:color w:val="auto"/>
          <w:sz w:val="32"/>
          <w:szCs w:val="32"/>
          <w:shd w:val="clear" w:color="auto" w:fill="FFFFFF"/>
          <w:lang w:eastAsia="zh-CN"/>
        </w:rPr>
        <w:t>（六）建议提案办理结果公开情况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jc w:val="both"/>
        <w:textAlignment w:val="auto"/>
        <w:rPr>
          <w:rFonts w:hint="default" w:ascii="Times New Roman" w:hAnsi="Times New Roman" w:eastAsia="黑体" w:cs="Times New Roman"/>
          <w:color w:val="auto"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FFFFFF"/>
        </w:rPr>
        <w:t>20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FFFFFF"/>
          <w:lang w:val="en-US" w:eastAsia="zh-CN"/>
        </w:rPr>
        <w:t>20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FFFFFF"/>
        </w:rPr>
        <w:t>年，我中心承办人大代表建议、政协委员提案共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FFFFFF"/>
          <w:lang w:val="en-US" w:eastAsia="zh-CN"/>
        </w:rPr>
        <w:t>9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FFFFFF"/>
        </w:rPr>
        <w:t>件，其中人大代表建议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FFFFFF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FFFFFF"/>
        </w:rPr>
        <w:t>件，政协委员提案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FFFFFF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FFFFFF"/>
        </w:rPr>
        <w:t>件，全部办结，并将答复结果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FFFFFF"/>
          <w:lang w:eastAsia="zh-CN"/>
        </w:rPr>
        <w:t>以及《区园林绿化服务中心2020年度人大代表建议、政协委员提案办理情况报告》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FFFFFF"/>
        </w:rPr>
        <w:t>全部公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FFFFFF"/>
          <w:lang w:eastAsia="zh-CN"/>
        </w:rPr>
        <w:t>开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FFFFFF"/>
        </w:rPr>
        <w:t>至政务公开网站，保证办理工作质量，确保了件件有落实、件件有答复。</w:t>
      </w:r>
    </w:p>
    <w:p>
      <w:pPr>
        <w:pStyle w:val="4"/>
        <w:widowControl/>
        <w:shd w:val="clear" w:color="auto" w:fill="FFFFFF"/>
        <w:spacing w:beforeAutospacing="0" w:after="240" w:afterAutospacing="0"/>
        <w:ind w:firstLine="640"/>
        <w:jc w:val="both"/>
        <w:rPr>
          <w:rFonts w:ascii="黑体" w:hAnsi="黑体" w:eastAsia="黑体" w:cs="黑体"/>
          <w:color w:val="auto"/>
          <w:sz w:val="32"/>
          <w:szCs w:val="32"/>
        </w:rPr>
      </w:pPr>
      <w:r>
        <w:rPr>
          <w:rFonts w:hint="eastAsia" w:ascii="黑体" w:hAnsi="黑体" w:eastAsia="黑体" w:cs="黑体"/>
          <w:color w:val="auto"/>
          <w:sz w:val="32"/>
          <w:szCs w:val="32"/>
          <w:shd w:val="clear" w:color="auto" w:fill="FFFFFF"/>
        </w:rPr>
        <w:t>二、主动公开政府信息情况</w:t>
      </w:r>
    </w:p>
    <w:tbl>
      <w:tblPr>
        <w:tblStyle w:val="5"/>
        <w:tblW w:w="8708" w:type="dxa"/>
        <w:jc w:val="center"/>
        <w:shd w:val="clear" w:color="auto" w:fill="FFFFFF" w:themeFill="background1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073"/>
        <w:gridCol w:w="17"/>
        <w:gridCol w:w="2095"/>
        <w:gridCol w:w="1505"/>
        <w:gridCol w:w="2018"/>
      </w:tblGrid>
      <w:tr>
        <w:tblPrEx>
          <w:shd w:val="clear" w:color="auto" w:fill="FFFFFF" w:themeFill="background1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4" w:hRule="atLeast"/>
          <w:jc w:val="center"/>
        </w:trPr>
        <w:tc>
          <w:tcPr>
            <w:tcW w:w="870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Theme="minorEastAsia" w:hAnsiTheme="minorEastAsia" w:cstheme="minorEastAsia"/>
                <w:color w:val="auto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4"/>
              </w:rPr>
              <w:t>第二十条第（一）项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6" w:hRule="atLeast"/>
          <w:jc w:val="center"/>
        </w:trPr>
        <w:tc>
          <w:tcPr>
            <w:tcW w:w="30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Theme="minorEastAsia" w:hAnsiTheme="minorEastAsia" w:cstheme="minorEastAsia"/>
                <w:color w:val="auto"/>
                <w:kern w:val="0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4"/>
              </w:rPr>
              <w:t>信息内容</w:t>
            </w:r>
          </w:p>
        </w:tc>
        <w:tc>
          <w:tcPr>
            <w:tcW w:w="211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Theme="minorEastAsia" w:hAnsiTheme="minorEastAsia" w:cstheme="minorEastAsia"/>
                <w:color w:val="auto"/>
                <w:kern w:val="0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4"/>
              </w:rPr>
              <w:t>本年新制作数量</w:t>
            </w:r>
          </w:p>
        </w:tc>
        <w:tc>
          <w:tcPr>
            <w:tcW w:w="15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Theme="minorEastAsia" w:hAnsiTheme="minorEastAsia" w:cstheme="minorEastAsia"/>
                <w:color w:val="auto"/>
                <w:kern w:val="0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4"/>
              </w:rPr>
              <w:t>本年新</w:t>
            </w:r>
            <w:r>
              <w:rPr>
                <w:rFonts w:hint="eastAsia" w:asciiTheme="minorEastAsia" w:hAnsiTheme="minorEastAsia" w:cstheme="minorEastAsia"/>
                <w:color w:val="auto"/>
                <w:kern w:val="0"/>
                <w:sz w:val="24"/>
              </w:rPr>
              <w:br w:type="textWrapping"/>
            </w:r>
            <w:r>
              <w:rPr>
                <w:rFonts w:hint="eastAsia" w:asciiTheme="minorEastAsia" w:hAnsiTheme="minorEastAsia" w:cstheme="minorEastAsia"/>
                <w:color w:val="auto"/>
                <w:kern w:val="0"/>
                <w:sz w:val="24"/>
              </w:rPr>
              <w:t>公开数量</w:t>
            </w:r>
          </w:p>
        </w:tc>
        <w:tc>
          <w:tcPr>
            <w:tcW w:w="2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cstheme="minorEastAsia"/>
                <w:color w:val="auto"/>
                <w:kern w:val="0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4"/>
              </w:rPr>
              <w:t>对外公开</w:t>
            </w:r>
          </w:p>
          <w:p>
            <w:pPr>
              <w:widowControl/>
              <w:jc w:val="center"/>
              <w:rPr>
                <w:rFonts w:asciiTheme="minorEastAsia" w:hAnsiTheme="minorEastAsia" w:cstheme="minorEastAsia"/>
                <w:color w:val="auto"/>
                <w:kern w:val="0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4"/>
              </w:rPr>
              <w:t>总数量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  <w:jc w:val="center"/>
        </w:trPr>
        <w:tc>
          <w:tcPr>
            <w:tcW w:w="30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Theme="minorEastAsia" w:hAnsiTheme="minorEastAsia" w:cstheme="minorEastAsia"/>
                <w:color w:val="auto"/>
                <w:kern w:val="0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4"/>
              </w:rPr>
              <w:t>规章</w:t>
            </w:r>
          </w:p>
        </w:tc>
        <w:tc>
          <w:tcPr>
            <w:tcW w:w="211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Theme="minorEastAsia" w:hAnsiTheme="minorEastAsia" w:cstheme="minorEastAsia"/>
                <w:color w:val="auto"/>
                <w:kern w:val="0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4"/>
                <w:lang w:val="en-US" w:eastAsia="zh-CN"/>
              </w:rPr>
              <w:t>0</w:t>
            </w:r>
            <w:r>
              <w:rPr>
                <w:rFonts w:hint="eastAsia" w:asciiTheme="minorEastAsia" w:hAnsiTheme="minorEastAsia" w:cstheme="minorEastAsia"/>
                <w:color w:val="auto"/>
                <w:kern w:val="0"/>
                <w:sz w:val="24"/>
              </w:rPr>
              <w:t>　</w:t>
            </w:r>
          </w:p>
        </w:tc>
        <w:tc>
          <w:tcPr>
            <w:tcW w:w="15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4"/>
                <w:lang w:val="en-US" w:eastAsia="zh-CN"/>
              </w:rPr>
              <w:t>0</w:t>
            </w:r>
          </w:p>
        </w:tc>
        <w:tc>
          <w:tcPr>
            <w:tcW w:w="2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Theme="minorEastAsia" w:hAnsiTheme="minorEastAsia" w:cstheme="minorEastAsia"/>
                <w:color w:val="auto"/>
                <w:kern w:val="0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4"/>
                <w:lang w:val="en-US" w:eastAsia="zh-CN"/>
              </w:rPr>
              <w:t>0</w:t>
            </w:r>
            <w:r>
              <w:rPr>
                <w:rFonts w:hint="eastAsia" w:asciiTheme="minorEastAsia" w:hAnsiTheme="minorEastAsia" w:cstheme="minorEastAsia"/>
                <w:color w:val="auto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  <w:jc w:val="center"/>
        </w:trPr>
        <w:tc>
          <w:tcPr>
            <w:tcW w:w="30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Theme="minorEastAsia" w:hAnsiTheme="minorEastAsia" w:cstheme="minorEastAsia"/>
                <w:color w:val="auto"/>
                <w:kern w:val="0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4"/>
              </w:rPr>
              <w:t>规范性文件</w:t>
            </w:r>
          </w:p>
        </w:tc>
        <w:tc>
          <w:tcPr>
            <w:tcW w:w="211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Theme="minorEastAsia" w:hAnsiTheme="minorEastAsia" w:cstheme="minorEastAsia"/>
                <w:color w:val="auto"/>
                <w:kern w:val="0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4"/>
                <w:lang w:val="en-US" w:eastAsia="zh-CN"/>
              </w:rPr>
              <w:t>0</w:t>
            </w:r>
            <w:r>
              <w:rPr>
                <w:rFonts w:hint="eastAsia" w:asciiTheme="minorEastAsia" w:hAnsiTheme="minorEastAsia" w:cstheme="minorEastAsia"/>
                <w:color w:val="auto"/>
                <w:kern w:val="0"/>
                <w:sz w:val="24"/>
              </w:rPr>
              <w:t>　　</w:t>
            </w:r>
          </w:p>
        </w:tc>
        <w:tc>
          <w:tcPr>
            <w:tcW w:w="15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4"/>
                <w:lang w:val="en-US" w:eastAsia="zh-CN"/>
              </w:rPr>
              <w:t>0</w:t>
            </w:r>
          </w:p>
        </w:tc>
        <w:tc>
          <w:tcPr>
            <w:tcW w:w="2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Theme="minorEastAsia" w:hAnsiTheme="minorEastAsia" w:cstheme="minorEastAsia"/>
                <w:color w:val="auto"/>
                <w:kern w:val="0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4"/>
                <w:lang w:val="en-US" w:eastAsia="zh-CN"/>
              </w:rPr>
              <w:t>0</w:t>
            </w:r>
            <w:r>
              <w:rPr>
                <w:rFonts w:hint="eastAsia" w:asciiTheme="minorEastAsia" w:hAnsiTheme="minorEastAsia" w:cstheme="minorEastAsia"/>
                <w:color w:val="auto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8708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Theme="minorEastAsia" w:hAnsiTheme="minorEastAsia" w:cstheme="minorEastAsia"/>
                <w:color w:val="auto"/>
                <w:kern w:val="0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4"/>
              </w:rPr>
              <w:t>第二十条第（五）项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atLeast"/>
          <w:jc w:val="center"/>
        </w:trPr>
        <w:tc>
          <w:tcPr>
            <w:tcW w:w="30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Theme="minorEastAsia" w:hAnsiTheme="minorEastAsia" w:cstheme="minorEastAsia"/>
                <w:color w:val="auto"/>
                <w:kern w:val="0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4"/>
              </w:rPr>
              <w:t>信息内容</w:t>
            </w:r>
          </w:p>
        </w:tc>
        <w:tc>
          <w:tcPr>
            <w:tcW w:w="211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Theme="minorEastAsia" w:hAnsiTheme="minorEastAsia" w:cstheme="minorEastAsia"/>
                <w:color w:val="auto"/>
                <w:kern w:val="0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4"/>
              </w:rPr>
              <w:t>上一年项目数量</w:t>
            </w:r>
          </w:p>
        </w:tc>
        <w:tc>
          <w:tcPr>
            <w:tcW w:w="15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Theme="minorEastAsia" w:hAnsiTheme="minorEastAsia" w:cstheme="minorEastAsia"/>
                <w:color w:val="auto"/>
                <w:kern w:val="0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4"/>
              </w:rPr>
              <w:t>本年增/减</w:t>
            </w:r>
          </w:p>
        </w:tc>
        <w:tc>
          <w:tcPr>
            <w:tcW w:w="2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Theme="minorEastAsia" w:hAnsiTheme="minorEastAsia" w:cstheme="minorEastAsia"/>
                <w:color w:val="auto"/>
                <w:kern w:val="0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4"/>
              </w:rPr>
              <w:t>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5" w:hRule="atLeast"/>
          <w:jc w:val="center"/>
        </w:trPr>
        <w:tc>
          <w:tcPr>
            <w:tcW w:w="30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Theme="minorEastAsia" w:hAnsiTheme="minorEastAsia" w:cstheme="minorEastAsia"/>
                <w:color w:val="auto"/>
                <w:kern w:val="0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4"/>
              </w:rPr>
              <w:t>行政许可</w:t>
            </w:r>
          </w:p>
        </w:tc>
        <w:tc>
          <w:tcPr>
            <w:tcW w:w="211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Theme="minorEastAsia" w:hAnsiTheme="minorEastAsia" w:cstheme="minorEastAsia"/>
                <w:color w:val="auto"/>
                <w:kern w:val="0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4"/>
                <w:lang w:val="en-US" w:eastAsia="zh-CN"/>
              </w:rPr>
              <w:t>63</w:t>
            </w:r>
            <w:r>
              <w:rPr>
                <w:rFonts w:hint="eastAsia" w:asciiTheme="minorEastAsia" w:hAnsiTheme="minorEastAsia" w:cstheme="minorEastAsia"/>
                <w:color w:val="auto"/>
                <w:kern w:val="0"/>
                <w:sz w:val="24"/>
              </w:rPr>
              <w:t>　</w:t>
            </w:r>
          </w:p>
        </w:tc>
        <w:tc>
          <w:tcPr>
            <w:tcW w:w="15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Theme="minorEastAsia" w:hAnsiTheme="minorEastAsia" w:cstheme="minorEastAsia"/>
                <w:color w:val="auto"/>
                <w:kern w:val="0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4"/>
                <w:lang w:val="en-US" w:eastAsia="zh-CN"/>
              </w:rPr>
              <w:t>+5</w:t>
            </w:r>
          </w:p>
        </w:tc>
        <w:tc>
          <w:tcPr>
            <w:tcW w:w="2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Theme="minorEastAsia" w:hAnsiTheme="minorEastAsia" w:cstheme="minorEastAsia"/>
                <w:color w:val="auto"/>
                <w:kern w:val="0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4"/>
                <w:lang w:val="en-US" w:eastAsia="zh-CN"/>
              </w:rPr>
              <w:t>68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  <w:jc w:val="center"/>
        </w:trPr>
        <w:tc>
          <w:tcPr>
            <w:tcW w:w="30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Theme="minorEastAsia" w:hAnsiTheme="minorEastAsia" w:cstheme="minorEastAsia"/>
                <w:color w:val="auto"/>
                <w:kern w:val="0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4"/>
              </w:rPr>
              <w:t>其他对外管理服务事项</w:t>
            </w:r>
          </w:p>
        </w:tc>
        <w:tc>
          <w:tcPr>
            <w:tcW w:w="211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Theme="minorEastAsia" w:hAnsiTheme="minorEastAsia" w:cstheme="minorEastAsia"/>
                <w:color w:val="auto"/>
                <w:kern w:val="0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4"/>
                <w:lang w:val="en-US" w:eastAsia="zh-CN"/>
              </w:rPr>
              <w:t>5</w:t>
            </w:r>
            <w:r>
              <w:rPr>
                <w:rFonts w:hint="eastAsia" w:asciiTheme="minorEastAsia" w:hAnsiTheme="minorEastAsia" w:cstheme="minorEastAsia"/>
                <w:color w:val="auto"/>
                <w:kern w:val="0"/>
                <w:sz w:val="24"/>
              </w:rPr>
              <w:t>　</w:t>
            </w:r>
          </w:p>
        </w:tc>
        <w:tc>
          <w:tcPr>
            <w:tcW w:w="15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Theme="minorEastAsia" w:hAnsiTheme="minorEastAsia" w:cstheme="minorEastAsia"/>
                <w:color w:val="auto"/>
                <w:kern w:val="0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4"/>
                <w:lang w:val="en-US" w:eastAsia="zh-CN"/>
              </w:rPr>
              <w:t>+3</w:t>
            </w:r>
            <w:r>
              <w:rPr>
                <w:rFonts w:hint="eastAsia" w:asciiTheme="minorEastAsia" w:hAnsiTheme="minorEastAsia" w:cstheme="minorEastAsia"/>
                <w:color w:val="auto"/>
                <w:kern w:val="0"/>
                <w:sz w:val="24"/>
              </w:rPr>
              <w:t>　</w:t>
            </w:r>
          </w:p>
        </w:tc>
        <w:tc>
          <w:tcPr>
            <w:tcW w:w="2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Theme="minorEastAsia" w:hAnsiTheme="minorEastAsia" w:cstheme="minorEastAsia"/>
                <w:color w:val="auto"/>
                <w:kern w:val="0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4"/>
                <w:lang w:val="en-US" w:eastAsia="zh-CN"/>
              </w:rPr>
              <w:t>8</w:t>
            </w:r>
            <w:r>
              <w:rPr>
                <w:rFonts w:hint="eastAsia" w:asciiTheme="minorEastAsia" w:hAnsiTheme="minorEastAsia" w:cstheme="minorEastAsia"/>
                <w:color w:val="auto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7" w:hRule="atLeast"/>
          <w:jc w:val="center"/>
        </w:trPr>
        <w:tc>
          <w:tcPr>
            <w:tcW w:w="8708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Theme="minorEastAsia" w:hAnsiTheme="minorEastAsia" w:cstheme="minorEastAsia"/>
                <w:color w:val="auto"/>
                <w:kern w:val="0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4"/>
              </w:rPr>
              <w:t>第二十条第（六）项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  <w:jc w:val="center"/>
        </w:trPr>
        <w:tc>
          <w:tcPr>
            <w:tcW w:w="30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Theme="minorEastAsia" w:hAnsiTheme="minorEastAsia" w:cstheme="minorEastAsia"/>
                <w:color w:val="auto"/>
                <w:kern w:val="0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4"/>
              </w:rPr>
              <w:t>信息内容</w:t>
            </w:r>
          </w:p>
        </w:tc>
        <w:tc>
          <w:tcPr>
            <w:tcW w:w="211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Theme="minorEastAsia" w:hAnsiTheme="minorEastAsia" w:cstheme="minorEastAsia"/>
                <w:color w:val="auto"/>
                <w:kern w:val="0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4"/>
              </w:rPr>
              <w:t>上一年项目数量</w:t>
            </w:r>
          </w:p>
        </w:tc>
        <w:tc>
          <w:tcPr>
            <w:tcW w:w="15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Theme="minorEastAsia" w:hAnsiTheme="minorEastAsia" w:cstheme="minorEastAsia"/>
                <w:color w:val="auto"/>
                <w:kern w:val="0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4"/>
              </w:rPr>
              <w:t>本年增/减</w:t>
            </w:r>
          </w:p>
        </w:tc>
        <w:tc>
          <w:tcPr>
            <w:tcW w:w="2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Theme="minorEastAsia" w:hAnsiTheme="minorEastAsia" w:cstheme="minorEastAsia"/>
                <w:color w:val="auto"/>
                <w:kern w:val="0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4"/>
              </w:rPr>
              <w:t>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  <w:jc w:val="center"/>
        </w:trPr>
        <w:tc>
          <w:tcPr>
            <w:tcW w:w="30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Theme="minorEastAsia" w:hAnsiTheme="minorEastAsia" w:cstheme="minorEastAsia"/>
                <w:color w:val="auto"/>
                <w:kern w:val="0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4"/>
              </w:rPr>
              <w:t>行政处罚</w:t>
            </w:r>
          </w:p>
        </w:tc>
        <w:tc>
          <w:tcPr>
            <w:tcW w:w="211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Theme="minorEastAsia" w:hAnsiTheme="minorEastAsia" w:cstheme="minorEastAsia"/>
                <w:color w:val="auto"/>
                <w:kern w:val="0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4"/>
                <w:lang w:val="en-US" w:eastAsia="zh-CN"/>
              </w:rPr>
              <w:t>0</w:t>
            </w:r>
            <w:r>
              <w:rPr>
                <w:rFonts w:hint="eastAsia" w:asciiTheme="minorEastAsia" w:hAnsiTheme="minorEastAsia" w:cstheme="minorEastAsia"/>
                <w:color w:val="auto"/>
                <w:kern w:val="0"/>
                <w:sz w:val="24"/>
              </w:rPr>
              <w:t>　</w:t>
            </w:r>
          </w:p>
        </w:tc>
        <w:tc>
          <w:tcPr>
            <w:tcW w:w="15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Theme="minorEastAsia" w:hAnsiTheme="minorEastAsia" w:cstheme="minorEastAsia"/>
                <w:color w:val="auto"/>
                <w:kern w:val="0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4"/>
                <w:lang w:val="en-US" w:eastAsia="zh-CN"/>
              </w:rPr>
              <w:t>0</w:t>
            </w:r>
            <w:r>
              <w:rPr>
                <w:rFonts w:hint="eastAsia" w:asciiTheme="minorEastAsia" w:hAnsiTheme="minorEastAsia" w:cstheme="minorEastAsia"/>
                <w:color w:val="auto"/>
                <w:kern w:val="0"/>
                <w:sz w:val="24"/>
              </w:rPr>
              <w:t>　</w:t>
            </w:r>
          </w:p>
        </w:tc>
        <w:tc>
          <w:tcPr>
            <w:tcW w:w="2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Theme="minorEastAsia" w:hAnsiTheme="minorEastAsia" w:cstheme="minorEastAsia"/>
                <w:color w:val="auto"/>
                <w:kern w:val="0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4"/>
                <w:lang w:val="en-US" w:eastAsia="zh-CN"/>
              </w:rPr>
              <w:t>0</w:t>
            </w:r>
            <w:r>
              <w:rPr>
                <w:rFonts w:hint="eastAsia" w:asciiTheme="minorEastAsia" w:hAnsiTheme="minorEastAsia" w:cstheme="minorEastAsia"/>
                <w:color w:val="auto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  <w:jc w:val="center"/>
        </w:trPr>
        <w:tc>
          <w:tcPr>
            <w:tcW w:w="30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Theme="minorEastAsia" w:hAnsiTheme="minorEastAsia" w:cstheme="minorEastAsia"/>
                <w:color w:val="auto"/>
                <w:kern w:val="0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4"/>
              </w:rPr>
              <w:t>行政强制</w:t>
            </w:r>
          </w:p>
        </w:tc>
        <w:tc>
          <w:tcPr>
            <w:tcW w:w="211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Theme="minorEastAsia" w:hAnsiTheme="minorEastAsia" w:cstheme="minorEastAsia"/>
                <w:color w:val="auto"/>
                <w:kern w:val="0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4"/>
                <w:lang w:val="en-US" w:eastAsia="zh-CN"/>
              </w:rPr>
              <w:t>0</w:t>
            </w:r>
            <w:r>
              <w:rPr>
                <w:rFonts w:hint="eastAsia" w:asciiTheme="minorEastAsia" w:hAnsiTheme="minorEastAsia" w:cstheme="minorEastAsia"/>
                <w:color w:val="auto"/>
                <w:kern w:val="0"/>
                <w:sz w:val="24"/>
              </w:rPr>
              <w:t>　</w:t>
            </w:r>
          </w:p>
        </w:tc>
        <w:tc>
          <w:tcPr>
            <w:tcW w:w="15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Theme="minorEastAsia" w:hAnsiTheme="minorEastAsia" w:cstheme="minorEastAsia"/>
                <w:color w:val="auto"/>
                <w:kern w:val="0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4"/>
                <w:lang w:val="en-US" w:eastAsia="zh-CN"/>
              </w:rPr>
              <w:t>0</w:t>
            </w:r>
            <w:r>
              <w:rPr>
                <w:rFonts w:hint="eastAsia" w:asciiTheme="minorEastAsia" w:hAnsiTheme="minorEastAsia" w:cstheme="minorEastAsia"/>
                <w:color w:val="auto"/>
                <w:kern w:val="0"/>
                <w:sz w:val="24"/>
              </w:rPr>
              <w:t>　</w:t>
            </w:r>
          </w:p>
        </w:tc>
        <w:tc>
          <w:tcPr>
            <w:tcW w:w="2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Theme="minorEastAsia" w:hAnsiTheme="minorEastAsia" w:cstheme="minorEastAsia"/>
                <w:color w:val="auto"/>
                <w:kern w:val="0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4"/>
                <w:lang w:val="en-US" w:eastAsia="zh-CN"/>
              </w:rPr>
              <w:t>0</w:t>
            </w:r>
            <w:r>
              <w:rPr>
                <w:rFonts w:hint="eastAsia" w:asciiTheme="minorEastAsia" w:hAnsiTheme="minorEastAsia" w:cstheme="minorEastAsia"/>
                <w:color w:val="auto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  <w:jc w:val="center"/>
        </w:trPr>
        <w:tc>
          <w:tcPr>
            <w:tcW w:w="8708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Theme="minorEastAsia" w:hAnsiTheme="minorEastAsia" w:cstheme="minorEastAsia"/>
                <w:color w:val="auto"/>
                <w:kern w:val="0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4"/>
              </w:rPr>
              <w:t>第二十条第（八）项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7" w:hRule="atLeast"/>
          <w:jc w:val="center"/>
        </w:trPr>
        <w:tc>
          <w:tcPr>
            <w:tcW w:w="30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Theme="minorEastAsia" w:hAnsiTheme="minorEastAsia" w:cstheme="minorEastAsia"/>
                <w:color w:val="auto"/>
                <w:kern w:val="0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4"/>
              </w:rPr>
              <w:t>信息内容</w:t>
            </w:r>
          </w:p>
        </w:tc>
        <w:tc>
          <w:tcPr>
            <w:tcW w:w="211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Theme="minorEastAsia" w:hAnsiTheme="minorEastAsia" w:cstheme="minorEastAsia"/>
                <w:color w:val="auto"/>
                <w:kern w:val="0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4"/>
              </w:rPr>
              <w:t>上一年项目数量</w:t>
            </w:r>
          </w:p>
        </w:tc>
        <w:tc>
          <w:tcPr>
            <w:tcW w:w="3523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Theme="minorEastAsia" w:hAnsiTheme="minorEastAsia" w:cstheme="minorEastAsia"/>
                <w:color w:val="auto"/>
                <w:kern w:val="0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4"/>
              </w:rPr>
              <w:t>本年增/减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30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Theme="minorEastAsia" w:hAnsiTheme="minorEastAsia" w:cstheme="minorEastAsia"/>
                <w:color w:val="auto"/>
                <w:kern w:val="0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4"/>
              </w:rPr>
              <w:t>行政事业性收费</w:t>
            </w:r>
          </w:p>
        </w:tc>
        <w:tc>
          <w:tcPr>
            <w:tcW w:w="211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Theme="minorEastAsia" w:hAnsiTheme="minorEastAsia" w:eastAsiaTheme="minorEastAsia" w:cstheme="minorEastAsia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4"/>
                <w:lang w:val="en-US" w:eastAsia="zh-CN"/>
              </w:rPr>
              <w:t>60</w:t>
            </w:r>
          </w:p>
        </w:tc>
        <w:tc>
          <w:tcPr>
            <w:tcW w:w="3523" w:type="dxa"/>
            <w:gridSpan w:val="2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Theme="minorEastAsia" w:hAnsiTheme="minorEastAsia" w:cstheme="minorEastAsia"/>
                <w:color w:val="auto"/>
                <w:kern w:val="0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4"/>
                <w:lang w:val="en-US" w:eastAsia="zh-CN"/>
              </w:rPr>
              <w:t>-30</w:t>
            </w:r>
            <w:r>
              <w:rPr>
                <w:rFonts w:hint="eastAsia" w:asciiTheme="minorEastAsia" w:hAnsiTheme="minorEastAsia" w:cstheme="minorEastAsia"/>
                <w:color w:val="auto"/>
                <w:kern w:val="0"/>
                <w:sz w:val="24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8708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tabs>
                <w:tab w:val="center" w:pos="4306"/>
                <w:tab w:val="left" w:pos="7209"/>
              </w:tabs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4"/>
                <w:lang w:eastAsia="zh-CN"/>
              </w:rPr>
              <w:tab/>
            </w:r>
            <w:r>
              <w:rPr>
                <w:rFonts w:hint="eastAsia" w:asciiTheme="minorEastAsia" w:hAnsiTheme="minorEastAsia" w:cstheme="minorEastAsia"/>
                <w:color w:val="auto"/>
                <w:kern w:val="0"/>
                <w:sz w:val="24"/>
              </w:rPr>
              <w:t>第二十条第（九）项</w:t>
            </w:r>
            <w:r>
              <w:rPr>
                <w:rFonts w:hint="eastAsia" w:asciiTheme="minorEastAsia" w:hAnsiTheme="minorEastAsia" w:cstheme="minorEastAsia"/>
                <w:color w:val="auto"/>
                <w:kern w:val="0"/>
                <w:sz w:val="24"/>
                <w:lang w:eastAsia="zh-CN"/>
              </w:rPr>
              <w:tab/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7" w:hRule="atLeast"/>
          <w:jc w:val="center"/>
        </w:trPr>
        <w:tc>
          <w:tcPr>
            <w:tcW w:w="309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Theme="minorEastAsia" w:hAnsiTheme="minorEastAsia" w:cstheme="minorEastAsia"/>
                <w:color w:val="auto"/>
                <w:kern w:val="0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4"/>
              </w:rPr>
              <w:t>信息内容</w:t>
            </w:r>
          </w:p>
        </w:tc>
        <w:tc>
          <w:tcPr>
            <w:tcW w:w="20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Theme="minorEastAsia" w:hAnsiTheme="minorEastAsia" w:cstheme="minorEastAsia"/>
                <w:color w:val="auto"/>
                <w:kern w:val="0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4"/>
              </w:rPr>
              <w:t>采购项目数量</w:t>
            </w:r>
          </w:p>
        </w:tc>
        <w:tc>
          <w:tcPr>
            <w:tcW w:w="3523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Theme="minorEastAsia" w:hAnsiTheme="minorEastAsia" w:cstheme="minorEastAsia"/>
                <w:color w:val="auto"/>
                <w:kern w:val="0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4"/>
              </w:rPr>
              <w:t>采购总金额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  <w:jc w:val="center"/>
        </w:trPr>
        <w:tc>
          <w:tcPr>
            <w:tcW w:w="309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Theme="minorEastAsia" w:hAnsiTheme="minorEastAsia" w:cstheme="minorEastAsia"/>
                <w:color w:val="auto"/>
                <w:kern w:val="0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4"/>
              </w:rPr>
              <w:t>政府集中采购</w:t>
            </w:r>
          </w:p>
        </w:tc>
        <w:tc>
          <w:tcPr>
            <w:tcW w:w="20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4"/>
                <w:lang w:val="en-US" w:eastAsia="zh-CN"/>
              </w:rPr>
              <w:t>8</w:t>
            </w:r>
          </w:p>
        </w:tc>
        <w:tc>
          <w:tcPr>
            <w:tcW w:w="3523" w:type="dxa"/>
            <w:gridSpan w:val="2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4"/>
                <w:lang w:val="en-US" w:eastAsia="zh-CN"/>
              </w:rPr>
              <w:t>11929.89万元</w:t>
            </w:r>
          </w:p>
        </w:tc>
      </w:tr>
    </w:tbl>
    <w:p>
      <w:pPr>
        <w:pStyle w:val="4"/>
        <w:widowControl/>
        <w:shd w:val="clear" w:color="auto" w:fill="FFFFFF"/>
        <w:spacing w:beforeAutospacing="0" w:afterAutospacing="0"/>
        <w:ind w:firstLine="420"/>
        <w:jc w:val="both"/>
        <w:rPr>
          <w:rFonts w:ascii="宋体" w:hAnsi="宋体" w:eastAsia="宋体" w:cs="宋体"/>
          <w:color w:val="auto"/>
        </w:rPr>
      </w:pPr>
    </w:p>
    <w:p>
      <w:pPr>
        <w:pStyle w:val="4"/>
        <w:widowControl/>
        <w:shd w:val="clear" w:color="auto" w:fill="FFFFFF"/>
        <w:spacing w:beforeAutospacing="0" w:after="240" w:afterAutospacing="0"/>
        <w:ind w:left="-199" w:leftChars="-95" w:firstLine="620"/>
        <w:jc w:val="both"/>
        <w:rPr>
          <w:rFonts w:ascii="黑体" w:hAnsi="黑体" w:eastAsia="黑体" w:cs="黑体"/>
          <w:b w:val="0"/>
          <w:bCs/>
          <w:color w:val="auto"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color w:val="auto"/>
          <w:sz w:val="32"/>
          <w:szCs w:val="32"/>
          <w:shd w:val="clear" w:color="auto" w:fill="FFFFFF"/>
        </w:rPr>
        <w:t>三、收到和处理政府信息公开申请情况</w:t>
      </w:r>
    </w:p>
    <w:tbl>
      <w:tblPr>
        <w:tblStyle w:val="5"/>
        <w:tblW w:w="9071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25"/>
        <w:gridCol w:w="1418"/>
        <w:gridCol w:w="2835"/>
        <w:gridCol w:w="850"/>
        <w:gridCol w:w="567"/>
        <w:gridCol w:w="567"/>
        <w:gridCol w:w="567"/>
        <w:gridCol w:w="567"/>
        <w:gridCol w:w="540"/>
        <w:gridCol w:w="635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  <w:jc w:val="center"/>
        </w:trPr>
        <w:tc>
          <w:tcPr>
            <w:tcW w:w="4778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（本列数据的勾稽关系为：第一项加第二项之和，</w:t>
            </w:r>
          </w:p>
          <w:p>
            <w:pPr>
              <w:widowControl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等于第三项加第四项之和）</w:t>
            </w:r>
          </w:p>
        </w:tc>
        <w:tc>
          <w:tcPr>
            <w:tcW w:w="4293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申请人情况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jc w:val="center"/>
        </w:trPr>
        <w:tc>
          <w:tcPr>
            <w:tcW w:w="4778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/>
                <w:color w:val="auto"/>
                <w:sz w:val="24"/>
              </w:rPr>
            </w:pPr>
          </w:p>
        </w:tc>
        <w:tc>
          <w:tcPr>
            <w:tcW w:w="85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自然人</w:t>
            </w:r>
          </w:p>
        </w:tc>
        <w:tc>
          <w:tcPr>
            <w:tcW w:w="280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法人或其他组织</w:t>
            </w:r>
          </w:p>
        </w:tc>
        <w:tc>
          <w:tcPr>
            <w:tcW w:w="635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总计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7" w:hRule="atLeast"/>
          <w:jc w:val="center"/>
        </w:trPr>
        <w:tc>
          <w:tcPr>
            <w:tcW w:w="4778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/>
                <w:color w:val="auto"/>
                <w:sz w:val="24"/>
              </w:rPr>
            </w:pPr>
          </w:p>
        </w:tc>
        <w:tc>
          <w:tcPr>
            <w:tcW w:w="85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/>
                <w:color w:val="auto"/>
                <w:sz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20" w:lineRule="exact"/>
              <w:ind w:left="-106" w:leftChars="-51" w:right="-107" w:rightChars="-51" w:hanging="1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商业企业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20" w:lineRule="exact"/>
              <w:ind w:left="-107" w:leftChars="-51" w:right="-107" w:rightChars="-51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科研机构</w:t>
            </w:r>
          </w:p>
        </w:tc>
        <w:tc>
          <w:tcPr>
            <w:tcW w:w="56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20" w:lineRule="exact"/>
              <w:ind w:left="-107" w:leftChars="-51" w:right="-107" w:rightChars="-51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社会公益组织</w:t>
            </w:r>
          </w:p>
        </w:tc>
        <w:tc>
          <w:tcPr>
            <w:tcW w:w="56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20" w:lineRule="exact"/>
              <w:ind w:left="-106" w:leftChars="-51" w:right="-107" w:rightChars="-51" w:hanging="1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法律服务机构</w:t>
            </w:r>
          </w:p>
        </w:tc>
        <w:tc>
          <w:tcPr>
            <w:tcW w:w="54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ind w:left="-63" w:leftChars="-30" w:right="-134" w:rightChars="-64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其他</w:t>
            </w:r>
          </w:p>
        </w:tc>
        <w:tc>
          <w:tcPr>
            <w:tcW w:w="635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/>
                <w:color w:val="auto"/>
                <w:sz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778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一、本年新收政府信息公开申请数量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default" w:eastAsiaTheme="minor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eastAsiaTheme="minor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eastAsiaTheme="minor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eastAsiaTheme="minor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eastAsiaTheme="minor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eastAsiaTheme="minor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0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eastAsiaTheme="minor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778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二、上年结转政府信息公开申请数量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color w:val="auto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color w:val="auto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color w:val="auto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color w:val="auto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color w:val="auto"/>
                <w:lang w:val="en-US" w:eastAsia="zh-CN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color w:val="auto"/>
                <w:lang w:val="en-US" w:eastAsia="zh-CN"/>
              </w:rPr>
              <w:t>0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color w:val="auto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25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三、本年度办理结果</w:t>
            </w:r>
          </w:p>
        </w:tc>
        <w:tc>
          <w:tcPr>
            <w:tcW w:w="425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rPr>
                <w:color w:val="auto"/>
              </w:rPr>
            </w:pPr>
            <w:r>
              <w:rPr>
                <w:rFonts w:ascii="楷体" w:hAnsi="楷体" w:eastAsia="楷体" w:cs="楷体"/>
                <w:color w:val="auto"/>
                <w:kern w:val="0"/>
                <w:sz w:val="20"/>
                <w:szCs w:val="20"/>
              </w:rPr>
              <w:t>（一）予以公开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color w:val="auto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color w:val="auto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color w:val="auto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color w:val="auto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color w:val="auto"/>
                <w:lang w:val="en-US" w:eastAsia="zh-CN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color w:val="auto"/>
                <w:lang w:val="en-US" w:eastAsia="zh-CN"/>
              </w:rPr>
              <w:t>0</w:t>
            </w:r>
          </w:p>
        </w:tc>
        <w:tc>
          <w:tcPr>
            <w:tcW w:w="6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color w:val="auto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color w:val="auto"/>
                <w:sz w:val="24"/>
              </w:rPr>
            </w:pPr>
          </w:p>
        </w:tc>
        <w:tc>
          <w:tcPr>
            <w:tcW w:w="425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rPr>
                <w:color w:val="auto"/>
              </w:rPr>
            </w:pPr>
            <w:r>
              <w:rPr>
                <w:rFonts w:hint="eastAsia" w:ascii="楷体" w:hAnsi="楷体" w:eastAsia="楷体" w:cs="楷体"/>
                <w:color w:val="auto"/>
                <w:kern w:val="0"/>
                <w:sz w:val="20"/>
                <w:szCs w:val="20"/>
              </w:rPr>
              <w:t>（二）部分公开（区分处理的，只计这一情形，不计其他情形）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color w:val="auto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color w:val="auto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color w:val="auto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color w:val="auto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color w:val="auto"/>
                <w:lang w:val="en-US" w:eastAsia="zh-CN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color w:val="auto"/>
                <w:lang w:val="en-US" w:eastAsia="zh-CN"/>
              </w:rPr>
              <w:t>0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color w:val="auto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5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color w:val="auto"/>
                <w:sz w:val="24"/>
              </w:rPr>
            </w:pPr>
          </w:p>
        </w:tc>
        <w:tc>
          <w:tcPr>
            <w:tcW w:w="141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00" w:lineRule="exact"/>
              <w:ind w:left="-107" w:leftChars="-51"/>
              <w:rPr>
                <w:color w:val="auto"/>
              </w:rPr>
            </w:pPr>
            <w:r>
              <w:rPr>
                <w:rFonts w:hint="eastAsia" w:ascii="楷体" w:hAnsi="楷体" w:eastAsia="楷体" w:cs="楷体"/>
                <w:color w:val="auto"/>
                <w:kern w:val="0"/>
                <w:sz w:val="20"/>
                <w:szCs w:val="20"/>
              </w:rPr>
              <w:t>（三）不予公开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00" w:lineRule="exact"/>
              <w:rPr>
                <w:rFonts w:ascii="楷体" w:hAnsi="楷体" w:eastAsia="楷体" w:cs="楷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楷体"/>
                <w:color w:val="auto"/>
                <w:kern w:val="0"/>
                <w:sz w:val="20"/>
                <w:szCs w:val="20"/>
              </w:rPr>
              <w:t>1.属于国家秘密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color w:val="auto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color w:val="auto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color w:val="auto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color w:val="auto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color w:val="auto"/>
                <w:lang w:val="en-US" w:eastAsia="zh-CN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color w:val="auto"/>
                <w:lang w:val="en-US" w:eastAsia="zh-CN"/>
              </w:rPr>
              <w:t>0</w:t>
            </w:r>
          </w:p>
        </w:tc>
        <w:tc>
          <w:tcPr>
            <w:tcW w:w="6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color w:val="auto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5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color w:val="auto"/>
                <w:sz w:val="24"/>
              </w:rPr>
            </w:pPr>
          </w:p>
        </w:tc>
        <w:tc>
          <w:tcPr>
            <w:tcW w:w="141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200" w:lineRule="exact"/>
              <w:rPr>
                <w:rFonts w:ascii="宋体"/>
                <w:color w:val="auto"/>
                <w:sz w:val="24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00" w:lineRule="exact"/>
              <w:rPr>
                <w:rFonts w:ascii="楷体" w:hAnsi="楷体" w:eastAsia="楷体" w:cs="楷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楷体"/>
                <w:color w:val="auto"/>
                <w:kern w:val="0"/>
                <w:sz w:val="20"/>
                <w:szCs w:val="20"/>
              </w:rPr>
              <w:t>2.其他法律行政法规禁止公开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color w:val="auto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color w:val="auto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color w:val="auto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color w:val="auto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color w:val="auto"/>
                <w:lang w:val="en-US" w:eastAsia="zh-CN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color w:val="auto"/>
                <w:lang w:val="en-US" w:eastAsia="zh-CN"/>
              </w:rPr>
              <w:t>0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color w:val="auto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5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color w:val="auto"/>
                <w:sz w:val="24"/>
              </w:rPr>
            </w:pPr>
          </w:p>
        </w:tc>
        <w:tc>
          <w:tcPr>
            <w:tcW w:w="141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200" w:lineRule="exact"/>
              <w:rPr>
                <w:rFonts w:ascii="宋体"/>
                <w:color w:val="auto"/>
                <w:sz w:val="24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00" w:lineRule="exact"/>
              <w:rPr>
                <w:rFonts w:ascii="楷体" w:hAnsi="楷体" w:eastAsia="楷体" w:cs="楷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楷体"/>
                <w:color w:val="auto"/>
                <w:kern w:val="0"/>
                <w:sz w:val="20"/>
                <w:szCs w:val="20"/>
              </w:rPr>
              <w:t>3.危及“三安全一稳定”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color w:val="auto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color w:val="auto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color w:val="auto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color w:val="auto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color w:val="auto"/>
                <w:lang w:val="en-US" w:eastAsia="zh-CN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color w:val="auto"/>
                <w:lang w:val="en-US" w:eastAsia="zh-CN"/>
              </w:rPr>
              <w:t>0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color w:val="auto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5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color w:val="auto"/>
                <w:sz w:val="24"/>
              </w:rPr>
            </w:pPr>
          </w:p>
        </w:tc>
        <w:tc>
          <w:tcPr>
            <w:tcW w:w="141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200" w:lineRule="exact"/>
              <w:rPr>
                <w:rFonts w:ascii="宋体"/>
                <w:color w:val="auto"/>
                <w:sz w:val="24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00" w:lineRule="exact"/>
              <w:rPr>
                <w:rFonts w:ascii="楷体" w:hAnsi="楷体" w:eastAsia="楷体" w:cs="楷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楷体"/>
                <w:color w:val="auto"/>
                <w:kern w:val="0"/>
                <w:sz w:val="20"/>
                <w:szCs w:val="20"/>
              </w:rPr>
              <w:t>4.保护第三方合法权益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color w:val="auto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color w:val="auto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color w:val="auto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color w:val="auto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color w:val="auto"/>
                <w:lang w:val="en-US" w:eastAsia="zh-CN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color w:val="auto"/>
                <w:lang w:val="en-US" w:eastAsia="zh-CN"/>
              </w:rPr>
              <w:t>0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color w:val="auto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5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color w:val="auto"/>
                <w:sz w:val="24"/>
              </w:rPr>
            </w:pPr>
          </w:p>
        </w:tc>
        <w:tc>
          <w:tcPr>
            <w:tcW w:w="141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200" w:lineRule="exact"/>
              <w:rPr>
                <w:rFonts w:ascii="宋体"/>
                <w:color w:val="auto"/>
                <w:sz w:val="24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00" w:lineRule="exact"/>
              <w:rPr>
                <w:rFonts w:ascii="楷体" w:hAnsi="楷体" w:eastAsia="楷体" w:cs="楷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楷体"/>
                <w:color w:val="auto"/>
                <w:kern w:val="0"/>
                <w:sz w:val="20"/>
                <w:szCs w:val="20"/>
              </w:rPr>
              <w:t>5.属于三类内部事务信息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color w:val="auto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color w:val="auto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color w:val="auto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color w:val="auto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color w:val="auto"/>
                <w:lang w:val="en-US" w:eastAsia="zh-CN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color w:val="auto"/>
                <w:lang w:val="en-US" w:eastAsia="zh-CN"/>
              </w:rPr>
              <w:t>0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color w:val="auto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5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color w:val="auto"/>
                <w:sz w:val="24"/>
              </w:rPr>
            </w:pPr>
          </w:p>
        </w:tc>
        <w:tc>
          <w:tcPr>
            <w:tcW w:w="141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200" w:lineRule="exact"/>
              <w:rPr>
                <w:rFonts w:ascii="宋体"/>
                <w:color w:val="auto"/>
                <w:sz w:val="24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00" w:lineRule="exact"/>
              <w:rPr>
                <w:rFonts w:ascii="楷体" w:hAnsi="楷体" w:eastAsia="楷体" w:cs="楷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楷体"/>
                <w:color w:val="auto"/>
                <w:kern w:val="0"/>
                <w:sz w:val="20"/>
                <w:szCs w:val="20"/>
              </w:rPr>
              <w:t>6.属于四类过程性信息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color w:val="auto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color w:val="auto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color w:val="auto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color w:val="auto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color w:val="auto"/>
                <w:lang w:val="en-US" w:eastAsia="zh-CN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color w:val="auto"/>
                <w:lang w:val="en-US" w:eastAsia="zh-CN"/>
              </w:rPr>
              <w:t>0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color w:val="auto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5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color w:val="auto"/>
                <w:sz w:val="24"/>
              </w:rPr>
            </w:pPr>
          </w:p>
        </w:tc>
        <w:tc>
          <w:tcPr>
            <w:tcW w:w="141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200" w:lineRule="exact"/>
              <w:rPr>
                <w:rFonts w:ascii="宋体"/>
                <w:color w:val="auto"/>
                <w:sz w:val="24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00" w:lineRule="exact"/>
              <w:rPr>
                <w:rFonts w:ascii="楷体" w:hAnsi="楷体" w:eastAsia="楷体" w:cs="楷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楷体"/>
                <w:color w:val="auto"/>
                <w:kern w:val="0"/>
                <w:sz w:val="20"/>
                <w:szCs w:val="20"/>
              </w:rPr>
              <w:t>7.属于行政执法案卷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color w:val="auto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color w:val="auto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color w:val="auto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color w:val="auto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color w:val="auto"/>
                <w:lang w:val="en-US" w:eastAsia="zh-CN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color w:val="auto"/>
                <w:lang w:val="en-US" w:eastAsia="zh-CN"/>
              </w:rPr>
              <w:t>0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color w:val="auto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5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color w:val="auto"/>
                <w:sz w:val="24"/>
              </w:rPr>
            </w:pPr>
          </w:p>
        </w:tc>
        <w:tc>
          <w:tcPr>
            <w:tcW w:w="141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200" w:lineRule="exact"/>
              <w:rPr>
                <w:rFonts w:ascii="宋体"/>
                <w:color w:val="auto"/>
                <w:sz w:val="24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00" w:lineRule="exact"/>
              <w:rPr>
                <w:rFonts w:ascii="楷体" w:hAnsi="楷体" w:eastAsia="楷体" w:cs="楷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楷体"/>
                <w:color w:val="auto"/>
                <w:kern w:val="0"/>
                <w:sz w:val="20"/>
                <w:szCs w:val="20"/>
              </w:rPr>
              <w:t>8.属于行政查询事项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color w:val="auto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color w:val="auto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color w:val="auto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color w:val="auto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color w:val="auto"/>
                <w:lang w:val="en-US" w:eastAsia="zh-CN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color w:val="auto"/>
                <w:lang w:val="en-US" w:eastAsia="zh-CN"/>
              </w:rPr>
              <w:t>0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color w:val="auto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5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color w:val="auto"/>
                <w:sz w:val="24"/>
              </w:rPr>
            </w:pPr>
          </w:p>
        </w:tc>
        <w:tc>
          <w:tcPr>
            <w:tcW w:w="141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00" w:lineRule="exact"/>
              <w:ind w:left="-107" w:leftChars="-51"/>
              <w:rPr>
                <w:color w:val="auto"/>
              </w:rPr>
            </w:pPr>
            <w:r>
              <w:rPr>
                <w:rFonts w:hint="eastAsia" w:ascii="楷体" w:hAnsi="楷体" w:eastAsia="楷体" w:cs="楷体"/>
                <w:color w:val="auto"/>
                <w:kern w:val="0"/>
                <w:sz w:val="20"/>
                <w:szCs w:val="20"/>
              </w:rPr>
              <w:t>（四）无法提供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00" w:lineRule="exact"/>
              <w:rPr>
                <w:rFonts w:ascii="楷体" w:hAnsi="楷体" w:eastAsia="楷体" w:cs="楷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楷体"/>
                <w:color w:val="auto"/>
                <w:kern w:val="0"/>
                <w:sz w:val="20"/>
                <w:szCs w:val="20"/>
              </w:rPr>
              <w:t>1.本机关不掌握相关政府信息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color w:val="auto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color w:val="auto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color w:val="auto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color w:val="auto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color w:val="auto"/>
                <w:lang w:val="en-US" w:eastAsia="zh-CN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color w:val="auto"/>
                <w:lang w:val="en-US" w:eastAsia="zh-CN"/>
              </w:rPr>
              <w:t>0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color w:val="auto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5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color w:val="auto"/>
                <w:sz w:val="24"/>
              </w:rPr>
            </w:pPr>
          </w:p>
        </w:tc>
        <w:tc>
          <w:tcPr>
            <w:tcW w:w="141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200" w:lineRule="exact"/>
              <w:ind w:left="-107" w:leftChars="-51"/>
              <w:rPr>
                <w:rFonts w:ascii="宋体"/>
                <w:color w:val="auto"/>
                <w:sz w:val="24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00" w:lineRule="exact"/>
              <w:rPr>
                <w:rFonts w:ascii="楷体" w:hAnsi="楷体" w:eastAsia="楷体" w:cs="楷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楷体"/>
                <w:color w:val="auto"/>
                <w:kern w:val="0"/>
                <w:sz w:val="20"/>
                <w:szCs w:val="20"/>
              </w:rPr>
              <w:t>2.没有现成信息需要另行制作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color w:val="auto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color w:val="auto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color w:val="auto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color w:val="auto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color w:val="auto"/>
                <w:lang w:val="en-US" w:eastAsia="zh-CN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color w:val="auto"/>
                <w:lang w:val="en-US" w:eastAsia="zh-CN"/>
              </w:rPr>
              <w:t>0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color w:val="auto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5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color w:val="auto"/>
                <w:sz w:val="24"/>
              </w:rPr>
            </w:pPr>
          </w:p>
        </w:tc>
        <w:tc>
          <w:tcPr>
            <w:tcW w:w="141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200" w:lineRule="exact"/>
              <w:ind w:left="-107" w:leftChars="-51"/>
              <w:rPr>
                <w:rFonts w:ascii="宋体"/>
                <w:color w:val="auto"/>
                <w:sz w:val="24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00" w:lineRule="exact"/>
              <w:rPr>
                <w:rFonts w:ascii="楷体" w:hAnsi="楷体" w:eastAsia="楷体" w:cs="楷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楷体"/>
                <w:color w:val="auto"/>
                <w:kern w:val="0"/>
                <w:sz w:val="20"/>
                <w:szCs w:val="20"/>
              </w:rPr>
              <w:t>3.补正后申请内容仍不明确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color w:val="auto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color w:val="auto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color w:val="auto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color w:val="auto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color w:val="auto"/>
                <w:lang w:val="en-US" w:eastAsia="zh-CN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color w:val="auto"/>
                <w:lang w:val="en-US" w:eastAsia="zh-CN"/>
              </w:rPr>
              <w:t>0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color w:val="auto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5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color w:val="auto"/>
                <w:sz w:val="24"/>
              </w:rPr>
            </w:pPr>
          </w:p>
        </w:tc>
        <w:tc>
          <w:tcPr>
            <w:tcW w:w="141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00" w:lineRule="exact"/>
              <w:ind w:left="-107" w:leftChars="-51"/>
              <w:rPr>
                <w:color w:val="auto"/>
              </w:rPr>
            </w:pPr>
            <w:r>
              <w:rPr>
                <w:rFonts w:hint="eastAsia" w:ascii="楷体" w:hAnsi="楷体" w:eastAsia="楷体" w:cs="楷体"/>
                <w:color w:val="auto"/>
                <w:kern w:val="0"/>
                <w:sz w:val="20"/>
                <w:szCs w:val="20"/>
              </w:rPr>
              <w:t>（五）不予处理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00" w:lineRule="exact"/>
              <w:rPr>
                <w:rFonts w:ascii="楷体" w:hAnsi="楷体" w:eastAsia="楷体" w:cs="楷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楷体"/>
                <w:color w:val="auto"/>
                <w:kern w:val="0"/>
                <w:sz w:val="20"/>
                <w:szCs w:val="20"/>
              </w:rPr>
              <w:t>1.信访举报投诉类申请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color w:val="auto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color w:val="auto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color w:val="auto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color w:val="auto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color w:val="auto"/>
                <w:lang w:val="en-US" w:eastAsia="zh-CN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color w:val="auto"/>
                <w:lang w:val="en-US" w:eastAsia="zh-CN"/>
              </w:rPr>
              <w:t>0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color w:val="auto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5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color w:val="auto"/>
                <w:sz w:val="24"/>
              </w:rPr>
            </w:pPr>
          </w:p>
        </w:tc>
        <w:tc>
          <w:tcPr>
            <w:tcW w:w="141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200" w:lineRule="exact"/>
              <w:rPr>
                <w:rFonts w:ascii="宋体"/>
                <w:color w:val="auto"/>
                <w:sz w:val="24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00" w:lineRule="exact"/>
              <w:rPr>
                <w:rFonts w:ascii="楷体" w:hAnsi="楷体" w:eastAsia="楷体" w:cs="楷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楷体"/>
                <w:color w:val="auto"/>
                <w:kern w:val="0"/>
                <w:sz w:val="20"/>
                <w:szCs w:val="20"/>
              </w:rPr>
              <w:t>2.重复申请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color w:val="auto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color w:val="auto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color w:val="auto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color w:val="auto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color w:val="auto"/>
                <w:lang w:val="en-US" w:eastAsia="zh-CN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color w:val="auto"/>
                <w:lang w:val="en-US" w:eastAsia="zh-CN"/>
              </w:rPr>
              <w:t>0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color w:val="auto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5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color w:val="auto"/>
                <w:sz w:val="24"/>
              </w:rPr>
            </w:pPr>
          </w:p>
        </w:tc>
        <w:tc>
          <w:tcPr>
            <w:tcW w:w="141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200" w:lineRule="exact"/>
              <w:rPr>
                <w:rFonts w:ascii="宋体"/>
                <w:color w:val="auto"/>
                <w:sz w:val="24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00" w:lineRule="exact"/>
              <w:rPr>
                <w:color w:val="auto"/>
              </w:rPr>
            </w:pPr>
            <w:r>
              <w:rPr>
                <w:rFonts w:hint="eastAsia" w:ascii="楷体" w:hAnsi="楷体" w:eastAsia="楷体" w:cs="楷体"/>
                <w:color w:val="auto"/>
                <w:kern w:val="0"/>
                <w:sz w:val="20"/>
                <w:szCs w:val="20"/>
              </w:rPr>
              <w:t>3.要求提供公开出版物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color w:val="auto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color w:val="auto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color w:val="auto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color w:val="auto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color w:val="auto"/>
                <w:lang w:val="en-US" w:eastAsia="zh-CN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color w:val="auto"/>
                <w:lang w:val="en-US" w:eastAsia="zh-CN"/>
              </w:rPr>
              <w:t>0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color w:val="auto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5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color w:val="auto"/>
                <w:sz w:val="24"/>
              </w:rPr>
            </w:pPr>
          </w:p>
        </w:tc>
        <w:tc>
          <w:tcPr>
            <w:tcW w:w="141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200" w:lineRule="exact"/>
              <w:rPr>
                <w:rFonts w:ascii="宋体"/>
                <w:color w:val="auto"/>
                <w:sz w:val="24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00" w:lineRule="exact"/>
              <w:rPr>
                <w:color w:val="auto"/>
              </w:rPr>
            </w:pPr>
            <w:r>
              <w:rPr>
                <w:rFonts w:hint="eastAsia" w:ascii="楷体" w:hAnsi="楷体" w:eastAsia="楷体" w:cs="楷体"/>
                <w:color w:val="auto"/>
                <w:kern w:val="0"/>
                <w:sz w:val="20"/>
                <w:szCs w:val="20"/>
              </w:rPr>
              <w:t>4.无正当理由大量反复申请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color w:val="auto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color w:val="auto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color w:val="auto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color w:val="auto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color w:val="auto"/>
                <w:lang w:val="en-US" w:eastAsia="zh-CN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color w:val="auto"/>
                <w:lang w:val="en-US" w:eastAsia="zh-CN"/>
              </w:rPr>
              <w:t>0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color w:val="auto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color w:val="auto"/>
                <w:sz w:val="24"/>
              </w:rPr>
            </w:pPr>
          </w:p>
        </w:tc>
        <w:tc>
          <w:tcPr>
            <w:tcW w:w="141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200" w:lineRule="exact"/>
              <w:rPr>
                <w:rFonts w:ascii="宋体"/>
                <w:color w:val="auto"/>
                <w:sz w:val="24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rPr>
                <w:rFonts w:hint="eastAsia" w:ascii="楷体" w:hAnsi="楷体" w:eastAsia="楷体" w:cs="楷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楷体"/>
                <w:color w:val="auto"/>
                <w:kern w:val="0"/>
                <w:sz w:val="20"/>
                <w:szCs w:val="20"/>
              </w:rPr>
              <w:t>5.要求行政机关确认或重新</w:t>
            </w:r>
          </w:p>
          <w:p>
            <w:pPr>
              <w:widowControl/>
              <w:spacing w:line="300" w:lineRule="exact"/>
              <w:ind w:firstLine="200" w:firstLineChars="100"/>
              <w:rPr>
                <w:color w:val="auto"/>
              </w:rPr>
            </w:pPr>
            <w:r>
              <w:rPr>
                <w:rFonts w:hint="eastAsia" w:ascii="楷体" w:hAnsi="楷体" w:eastAsia="楷体" w:cs="楷体"/>
                <w:color w:val="auto"/>
                <w:kern w:val="0"/>
                <w:sz w:val="20"/>
                <w:szCs w:val="20"/>
              </w:rPr>
              <w:t>出具已获取信息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color w:val="auto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color w:val="auto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color w:val="auto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color w:val="auto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color w:val="auto"/>
                <w:lang w:val="en-US" w:eastAsia="zh-CN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color w:val="auto"/>
                <w:lang w:val="en-US" w:eastAsia="zh-CN"/>
              </w:rPr>
              <w:t>0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color w:val="auto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5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color w:val="auto"/>
                <w:sz w:val="24"/>
              </w:rPr>
            </w:pPr>
          </w:p>
        </w:tc>
        <w:tc>
          <w:tcPr>
            <w:tcW w:w="425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00" w:lineRule="exact"/>
              <w:rPr>
                <w:color w:val="auto"/>
              </w:rPr>
            </w:pPr>
            <w:r>
              <w:rPr>
                <w:rFonts w:hint="eastAsia" w:ascii="楷体" w:hAnsi="楷体" w:eastAsia="楷体" w:cs="楷体"/>
                <w:color w:val="auto"/>
                <w:kern w:val="0"/>
                <w:sz w:val="20"/>
                <w:szCs w:val="20"/>
              </w:rPr>
              <w:t>（六）其他处理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default" w:asciiTheme="minorHAnsi" w:hAnsiTheme="minorHAnsi" w:eastAsiaTheme="minorEastAsia" w:cstheme="minorBidi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color w:val="auto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color w:val="auto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color w:val="auto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color w:val="auto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color w:val="auto"/>
                <w:lang w:val="en-US" w:eastAsia="zh-CN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color w:val="auto"/>
                <w:lang w:val="en-US" w:eastAsia="zh-CN"/>
              </w:rPr>
              <w:t>0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color w:val="auto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5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color w:val="auto"/>
                <w:sz w:val="24"/>
              </w:rPr>
            </w:pPr>
          </w:p>
        </w:tc>
        <w:tc>
          <w:tcPr>
            <w:tcW w:w="425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00" w:lineRule="exact"/>
              <w:rPr>
                <w:color w:val="auto"/>
              </w:rPr>
            </w:pPr>
            <w:r>
              <w:rPr>
                <w:rFonts w:hint="eastAsia" w:ascii="楷体" w:hAnsi="楷体" w:eastAsia="楷体" w:cs="楷体"/>
                <w:color w:val="auto"/>
                <w:kern w:val="0"/>
                <w:sz w:val="20"/>
                <w:szCs w:val="20"/>
              </w:rPr>
              <w:t>（七）总计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color w:val="auto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color w:val="auto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color w:val="auto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color w:val="auto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color w:val="auto"/>
                <w:lang w:val="en-US" w:eastAsia="zh-CN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color w:val="auto"/>
                <w:lang w:val="en-US" w:eastAsia="zh-CN"/>
              </w:rPr>
              <w:t>0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color w:val="auto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778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四、结转下年度继续办理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default" w:eastAsiaTheme="minor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default" w:eastAsiaTheme="minor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eastAsiaTheme="minor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eastAsiaTheme="minor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default" w:eastAsiaTheme="minor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eastAsiaTheme="minor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0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宋体" w:eastAsiaTheme="minorEastAsia"/>
                <w:color w:val="auto"/>
                <w:sz w:val="24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0</w:t>
            </w:r>
          </w:p>
        </w:tc>
      </w:tr>
    </w:tbl>
    <w:p>
      <w:pPr>
        <w:pStyle w:val="4"/>
        <w:widowControl/>
        <w:shd w:val="clear" w:color="auto" w:fill="FFFFFF"/>
        <w:spacing w:beforeAutospacing="0" w:afterAutospacing="0"/>
        <w:ind w:firstLine="420"/>
        <w:jc w:val="both"/>
        <w:rPr>
          <w:rFonts w:ascii="宋体" w:hAnsi="宋体" w:eastAsia="宋体" w:cs="宋体"/>
          <w:color w:val="auto"/>
        </w:rPr>
      </w:pPr>
    </w:p>
    <w:p>
      <w:pPr>
        <w:pStyle w:val="4"/>
        <w:widowControl/>
        <w:shd w:val="clear" w:color="auto" w:fill="FFFFFF"/>
        <w:spacing w:beforeAutospacing="0" w:afterAutospacing="0"/>
        <w:ind w:firstLine="420"/>
        <w:jc w:val="both"/>
        <w:rPr>
          <w:rFonts w:ascii="黑体" w:hAnsi="黑体" w:eastAsia="黑体" w:cs="宋体"/>
          <w:color w:val="auto"/>
          <w:sz w:val="32"/>
          <w:szCs w:val="32"/>
        </w:rPr>
      </w:pPr>
      <w:r>
        <w:rPr>
          <w:rFonts w:hint="eastAsia" w:ascii="黑体" w:hAnsi="黑体" w:eastAsia="黑体" w:cs="宋体"/>
          <w:color w:val="auto"/>
          <w:sz w:val="32"/>
          <w:szCs w:val="32"/>
          <w:shd w:val="clear" w:color="auto" w:fill="FFFFFF"/>
        </w:rPr>
        <w:t>四、政府信息公开行政复议、行政诉讼情况</w:t>
      </w:r>
    </w:p>
    <w:p>
      <w:pPr>
        <w:pStyle w:val="4"/>
        <w:widowControl/>
        <w:shd w:val="clear" w:color="auto" w:fill="FFFFFF"/>
        <w:spacing w:beforeAutospacing="0" w:afterAutospacing="0"/>
        <w:ind w:firstLine="420"/>
        <w:jc w:val="both"/>
        <w:rPr>
          <w:rFonts w:ascii="宋体" w:hAnsi="宋体" w:eastAsia="宋体" w:cs="宋体"/>
          <w:color w:val="auto"/>
        </w:rPr>
      </w:pPr>
    </w:p>
    <w:tbl>
      <w:tblPr>
        <w:tblStyle w:val="5"/>
        <w:tblW w:w="9071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04"/>
        <w:gridCol w:w="604"/>
        <w:gridCol w:w="604"/>
        <w:gridCol w:w="604"/>
        <w:gridCol w:w="658"/>
        <w:gridCol w:w="550"/>
        <w:gridCol w:w="605"/>
        <w:gridCol w:w="605"/>
        <w:gridCol w:w="605"/>
        <w:gridCol w:w="605"/>
        <w:gridCol w:w="605"/>
        <w:gridCol w:w="605"/>
        <w:gridCol w:w="605"/>
        <w:gridCol w:w="606"/>
        <w:gridCol w:w="606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7" w:hRule="atLeast"/>
          <w:jc w:val="center"/>
        </w:trPr>
        <w:tc>
          <w:tcPr>
            <w:tcW w:w="3074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行政复议</w:t>
            </w:r>
          </w:p>
        </w:tc>
        <w:tc>
          <w:tcPr>
            <w:tcW w:w="5997" w:type="dxa"/>
            <w:gridSpan w:val="10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行政诉讼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  <w:jc w:val="center"/>
        </w:trPr>
        <w:tc>
          <w:tcPr>
            <w:tcW w:w="604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left="-149" w:leftChars="-71" w:right="-170" w:rightChars="-81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结果</w:t>
            </w:r>
          </w:p>
          <w:p>
            <w:pPr>
              <w:widowControl/>
              <w:ind w:left="-149" w:leftChars="-71" w:right="-170" w:rightChars="-81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维持</w:t>
            </w:r>
          </w:p>
        </w:tc>
        <w:tc>
          <w:tcPr>
            <w:tcW w:w="60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left="-43" w:leftChars="-21" w:right="-132" w:rightChars="-63" w:hanging="1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left="-82" w:leftChars="-39" w:right="-97" w:rightChars="-46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left="-118" w:leftChars="-56" w:right="-118" w:rightChars="-56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尚未</w:t>
            </w:r>
          </w:p>
          <w:p>
            <w:pPr>
              <w:widowControl/>
              <w:ind w:left="-118" w:leftChars="-56" w:right="-118" w:rightChars="-56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审结</w:t>
            </w:r>
          </w:p>
        </w:tc>
        <w:tc>
          <w:tcPr>
            <w:tcW w:w="658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总</w:t>
            </w:r>
          </w:p>
          <w:p>
            <w:pPr>
              <w:widowControl/>
              <w:spacing w:line="320" w:lineRule="exact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计</w:t>
            </w:r>
          </w:p>
        </w:tc>
        <w:tc>
          <w:tcPr>
            <w:tcW w:w="297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未经复议直接起诉</w:t>
            </w:r>
          </w:p>
        </w:tc>
        <w:tc>
          <w:tcPr>
            <w:tcW w:w="3027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复议后起诉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6" w:hRule="atLeast"/>
          <w:jc w:val="center"/>
        </w:trPr>
        <w:tc>
          <w:tcPr>
            <w:tcW w:w="60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color w:val="auto"/>
                <w:sz w:val="24"/>
              </w:rPr>
            </w:pPr>
          </w:p>
        </w:tc>
        <w:tc>
          <w:tcPr>
            <w:tcW w:w="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color w:val="auto"/>
                <w:sz w:val="24"/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color w:val="auto"/>
                <w:sz w:val="24"/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color w:val="auto"/>
                <w:sz w:val="24"/>
              </w:rPr>
            </w:pPr>
          </w:p>
        </w:tc>
        <w:tc>
          <w:tcPr>
            <w:tcW w:w="658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color w:val="auto"/>
                <w:sz w:val="24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left="-105" w:leftChars="-50" w:right="-126" w:rightChars="-6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left="-86" w:leftChars="-41" w:right="-88" w:rightChars="-42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left="-126" w:leftChars="-60" w:right="-136" w:rightChars="-65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其他</w:t>
            </w:r>
          </w:p>
          <w:p>
            <w:pPr>
              <w:widowControl/>
              <w:ind w:left="-126" w:leftChars="-60" w:right="-136" w:rightChars="-65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结果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left="-164" w:leftChars="-78" w:right="-153" w:rightChars="-73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尚未</w:t>
            </w:r>
          </w:p>
          <w:p>
            <w:pPr>
              <w:widowControl/>
              <w:ind w:left="-164" w:leftChars="-78" w:right="-153" w:rightChars="-73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审结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总计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left="-99" w:leftChars="-47" w:right="-78" w:rightChars="-37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left="-136" w:leftChars="-65" w:right="-124" w:rightChars="-59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结果</w:t>
            </w:r>
          </w:p>
          <w:p>
            <w:pPr>
              <w:widowControl/>
              <w:ind w:left="-136" w:leftChars="-65" w:right="-124" w:rightChars="-59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纠正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left="-173" w:leftChars="-83" w:right="-134" w:rightChars="-64" w:hanging="1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其他</w:t>
            </w:r>
          </w:p>
          <w:p>
            <w:pPr>
              <w:widowControl/>
              <w:ind w:left="-173" w:leftChars="-83" w:right="-134" w:rightChars="-64" w:hanging="1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结果</w:t>
            </w:r>
          </w:p>
        </w:tc>
        <w:tc>
          <w:tcPr>
            <w:tcW w:w="6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left="-67" w:leftChars="-33" w:right="-105" w:rightChars="-50" w:hanging="2" w:hangingChars="1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总计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0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eastAsiaTheme="minorEastAsia"/>
                <w:color w:val="auto"/>
                <w:lang w:val="en-US" w:eastAsia="zh-CN"/>
              </w:rPr>
            </w:pPr>
            <w:r>
              <w:rPr>
                <w:rFonts w:ascii="Calibri" w:hAnsi="Calibri" w:cs="Calibri"/>
                <w:color w:val="auto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eastAsiaTheme="minorEastAsia"/>
                <w:color w:val="auto"/>
                <w:lang w:val="en-US" w:eastAsia="zh-CN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cs="Calibri"/>
                <w:color w:val="auto"/>
                <w:kern w:val="0"/>
                <w:sz w:val="20"/>
                <w:szCs w:val="20"/>
              </w:rPr>
              <w:t> 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cs="Calibri"/>
                <w:color w:val="auto"/>
                <w:kern w:val="0"/>
                <w:sz w:val="20"/>
                <w:szCs w:val="20"/>
              </w:rPr>
              <w:t> 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cs="Calibri"/>
                <w:color w:val="auto"/>
                <w:kern w:val="0"/>
                <w:sz w:val="20"/>
                <w:szCs w:val="20"/>
              </w:rPr>
              <w:t> 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eastAsiaTheme="minorEastAsia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color w:val="auto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eastAsiaTheme="minorEastAsia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color w:val="auto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eastAsiaTheme="minorEastAsia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color w:val="auto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eastAsiaTheme="minorEastAsia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color w:val="auto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eastAsiaTheme="minorEastAsia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color w:val="auto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eastAsiaTheme="minorEastAsia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color w:val="auto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eastAsiaTheme="minorEastAsia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color w:val="auto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eastAsiaTheme="minorEastAsia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color w:val="auto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eastAsiaTheme="minorEastAsia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color w:val="auto"/>
                <w:sz w:val="20"/>
                <w:szCs w:val="20"/>
                <w:lang w:val="en-US" w:eastAsia="zh-CN"/>
              </w:rPr>
              <w:t>0</w:t>
            </w:r>
            <w:bookmarkStart w:id="0" w:name="_GoBack"/>
            <w:bookmarkEnd w:id="0"/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eastAsiaTheme="minorEastAsia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/>
                <w:color w:val="auto"/>
                <w:sz w:val="20"/>
                <w:szCs w:val="20"/>
                <w:lang w:val="en-US" w:eastAsia="zh-CN"/>
              </w:rPr>
              <w:t>0</w:t>
            </w:r>
          </w:p>
        </w:tc>
      </w:tr>
    </w:tbl>
    <w:p>
      <w:pPr>
        <w:widowControl/>
        <w:shd w:val="clear" w:color="auto" w:fill="FFFFFF"/>
        <w:jc w:val="center"/>
        <w:rPr>
          <w:rFonts w:ascii="宋体" w:hAnsi="宋体" w:eastAsia="宋体" w:cs="宋体"/>
          <w:color w:val="auto"/>
          <w:sz w:val="24"/>
        </w:rPr>
      </w:pPr>
    </w:p>
    <w:p>
      <w:pPr>
        <w:pStyle w:val="4"/>
        <w:keepNext w:val="0"/>
        <w:keepLines w:val="0"/>
        <w:pageBreakBefore w:val="0"/>
        <w:widowControl/>
        <w:numPr>
          <w:ilvl w:val="0"/>
          <w:numId w:val="4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560" w:lineRule="exact"/>
        <w:ind w:firstLine="420"/>
        <w:jc w:val="both"/>
        <w:textAlignment w:val="auto"/>
        <w:rPr>
          <w:rFonts w:hint="eastAsia" w:ascii="黑体" w:hAnsi="黑体" w:eastAsia="黑体" w:cs="宋体"/>
          <w:color w:val="auto"/>
          <w:sz w:val="32"/>
          <w:szCs w:val="32"/>
          <w:shd w:val="clear" w:color="auto" w:fill="FFFFFF"/>
        </w:rPr>
      </w:pPr>
      <w:r>
        <w:rPr>
          <w:rFonts w:hint="eastAsia" w:ascii="黑体" w:hAnsi="黑体" w:eastAsia="黑体" w:cs="宋体"/>
          <w:color w:val="auto"/>
          <w:sz w:val="32"/>
          <w:szCs w:val="32"/>
          <w:shd w:val="clear" w:color="auto" w:fill="FFFFFF"/>
        </w:rPr>
        <w:t>存在的主要问题及改进情况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2020年，我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eastAsia="zh-CN"/>
        </w:rPr>
        <w:t>中心政务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信息公开工作在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eastAsia="zh-CN"/>
        </w:rPr>
        <w:t>区委区政府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的领导下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取得了一些成效，但也清醒地认识到，在工作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eastAsia="zh-CN"/>
        </w:rPr>
        <w:t>推进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中仍然存在一些问题：一是政府信息公开主动性不够强、及时性不够，对一些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eastAsia="zh-CN"/>
        </w:rPr>
        <w:t>政务公开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内容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eastAsia="zh-CN"/>
        </w:rPr>
        <w:t>的全面性有待进一步加强，重点不够突出、信息质量有待提高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；二是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eastAsia="zh-CN"/>
        </w:rPr>
        <w:t>仍需进一步增强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对政务公开工作重要性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eastAsia="zh-CN"/>
        </w:rPr>
        <w:t>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认识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eastAsia="zh-CN"/>
        </w:rPr>
        <w:t>；三是政务公开工专项培训较少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。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56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　　下一步，我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eastAsia="zh-CN"/>
        </w:rPr>
        <w:t>中心将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做好以下几方面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继续大力推进政府信息公开工作：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560" w:lineRule="exact"/>
        <w:ind w:firstLine="64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一是深化公开内容、注重实效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eastAsia="zh-CN"/>
        </w:rPr>
        <w:t>。联系园林绿化工作实际，进一步规范政务公开工作操作流程，及时、全面、高质量的公开政务信息，以政务公开促落实、促规范、促服务。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560" w:lineRule="exact"/>
        <w:ind w:firstLine="64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eastAsia="zh-CN"/>
        </w:rPr>
        <w:t>二是定期召开政务公开工作会议。研究部署政务公开最新工作要求、专题学习相关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政策规定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eastAsia="zh-CN"/>
        </w:rPr>
        <w:t>、听取政务公开工作汇报以及明确下一步政务公开工作的着力点，切实把政务公开工作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列入重要议事日程，统一部署，周密安排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eastAsia="zh-CN"/>
        </w:rPr>
        <w:t>。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560" w:lineRule="exact"/>
        <w:ind w:firstLine="64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eastAsia="zh-CN"/>
        </w:rPr>
        <w:t>三是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不断强化对信息员的理论培训和业务培训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eastAsia="zh-CN"/>
        </w:rPr>
        <w:t>。定期开展政务公开、条例、依申请公开等有关法律法规及文件的学习，从思想上重视，行动上及时，从数量与质量两方面提升政务公开工作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。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5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560" w:lineRule="exact"/>
        <w:ind w:firstLine="420"/>
        <w:jc w:val="both"/>
        <w:textAlignment w:val="auto"/>
        <w:rPr>
          <w:rFonts w:hint="eastAsia" w:ascii="黑体" w:hAnsi="黑体" w:eastAsia="黑体" w:cs="宋体"/>
          <w:color w:val="auto"/>
          <w:sz w:val="32"/>
          <w:szCs w:val="32"/>
          <w:shd w:val="clear" w:color="auto" w:fill="FFFFFF"/>
        </w:rPr>
      </w:pPr>
      <w:r>
        <w:rPr>
          <w:rFonts w:hint="eastAsia" w:ascii="黑体" w:hAnsi="黑体" w:eastAsia="黑体" w:cs="宋体"/>
          <w:color w:val="auto"/>
          <w:sz w:val="32"/>
          <w:szCs w:val="32"/>
          <w:shd w:val="clear" w:color="auto" w:fill="FFFFFF"/>
        </w:rPr>
        <w:t>其他需要报告的事项</w:t>
      </w: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eastAsia="zh-CN"/>
        </w:rPr>
        <w:t>无。</w:t>
      </w:r>
    </w:p>
    <w:p>
      <w:pPr>
        <w:rPr>
          <w:color w:val="auto"/>
        </w:rPr>
      </w:pPr>
    </w:p>
    <w:p>
      <w:pPr>
        <w:rPr>
          <w:color w:val="auto"/>
        </w:rPr>
      </w:pPr>
    </w:p>
    <w:sectPr>
      <w:footerReference r:id="rId3" w:type="default"/>
      <w:pgSz w:w="11906" w:h="16838"/>
      <w:pgMar w:top="2098" w:right="1531" w:bottom="2098" w:left="1531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posOffset>5088890</wp:posOffset>
              </wp:positionH>
              <wp:positionV relativeFrom="paragraph">
                <wp:posOffset>-9525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400.7pt;margin-top:-0.75pt;height:144pt;width:144pt;mso-position-horizontal-relative:margin;mso-wrap-style:none;z-index:251658240;mso-width-relative:page;mso-height-relative:page;" filled="f" stroked="f" coordsize="21600,21600" o:gfxdata="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301A7A3"/>
    <w:multiLevelType w:val="singleLevel"/>
    <w:tmpl w:val="A301A7A3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F2B03B37"/>
    <w:multiLevelType w:val="singleLevel"/>
    <w:tmpl w:val="F2B03B37"/>
    <w:lvl w:ilvl="0" w:tentative="0">
      <w:start w:val="4"/>
      <w:numFmt w:val="chineseCounting"/>
      <w:suff w:val="nothing"/>
      <w:lvlText w:val="（%1）"/>
      <w:lvlJc w:val="left"/>
      <w:rPr>
        <w:rFonts w:hint="eastAsia"/>
      </w:rPr>
    </w:lvl>
  </w:abstractNum>
  <w:abstractNum w:abstractNumId="2">
    <w:nsid w:val="F6943ECC"/>
    <w:multiLevelType w:val="singleLevel"/>
    <w:tmpl w:val="F6943ECC"/>
    <w:lvl w:ilvl="0" w:tentative="0">
      <w:start w:val="6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336821A4"/>
    <w:multiLevelType w:val="singleLevel"/>
    <w:tmpl w:val="336821A4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abstractNum w:abstractNumId="4">
    <w:nsid w:val="55D0026A"/>
    <w:multiLevelType w:val="singleLevel"/>
    <w:tmpl w:val="55D0026A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346259"/>
    <w:rsid w:val="00A620DC"/>
    <w:rsid w:val="00D60D6D"/>
    <w:rsid w:val="01503170"/>
    <w:rsid w:val="067667F6"/>
    <w:rsid w:val="07BC180D"/>
    <w:rsid w:val="0B3C2AC7"/>
    <w:rsid w:val="0BDF212E"/>
    <w:rsid w:val="0BE52758"/>
    <w:rsid w:val="0D560030"/>
    <w:rsid w:val="10165EEE"/>
    <w:rsid w:val="13151D6B"/>
    <w:rsid w:val="136364CB"/>
    <w:rsid w:val="157742F4"/>
    <w:rsid w:val="15C84F8E"/>
    <w:rsid w:val="15ED43F7"/>
    <w:rsid w:val="16F03730"/>
    <w:rsid w:val="17AE070E"/>
    <w:rsid w:val="18DB160A"/>
    <w:rsid w:val="19455D20"/>
    <w:rsid w:val="1AD20DAC"/>
    <w:rsid w:val="1B9B5B6C"/>
    <w:rsid w:val="1D517A68"/>
    <w:rsid w:val="1D9B28BF"/>
    <w:rsid w:val="1F025AC6"/>
    <w:rsid w:val="21B159A4"/>
    <w:rsid w:val="228F2CF9"/>
    <w:rsid w:val="24F07398"/>
    <w:rsid w:val="25E40722"/>
    <w:rsid w:val="26A34B26"/>
    <w:rsid w:val="26C02940"/>
    <w:rsid w:val="27960A12"/>
    <w:rsid w:val="28900E86"/>
    <w:rsid w:val="28B045A1"/>
    <w:rsid w:val="2AA51E7F"/>
    <w:rsid w:val="2BBF0DBC"/>
    <w:rsid w:val="2CC75F6F"/>
    <w:rsid w:val="2DC812D4"/>
    <w:rsid w:val="2DF16E40"/>
    <w:rsid w:val="2F4735C6"/>
    <w:rsid w:val="33877DD8"/>
    <w:rsid w:val="33A96A44"/>
    <w:rsid w:val="345B6162"/>
    <w:rsid w:val="34E20621"/>
    <w:rsid w:val="362A2F81"/>
    <w:rsid w:val="37475619"/>
    <w:rsid w:val="38B7662E"/>
    <w:rsid w:val="393172C5"/>
    <w:rsid w:val="39B7578F"/>
    <w:rsid w:val="3A611043"/>
    <w:rsid w:val="3ADA593A"/>
    <w:rsid w:val="3B181523"/>
    <w:rsid w:val="3B346259"/>
    <w:rsid w:val="3C490581"/>
    <w:rsid w:val="3DAB5FC0"/>
    <w:rsid w:val="3DDE6523"/>
    <w:rsid w:val="40C942B9"/>
    <w:rsid w:val="45121387"/>
    <w:rsid w:val="4523595A"/>
    <w:rsid w:val="466D65DB"/>
    <w:rsid w:val="49C93657"/>
    <w:rsid w:val="4A4E45D4"/>
    <w:rsid w:val="4C1F04C2"/>
    <w:rsid w:val="504608DF"/>
    <w:rsid w:val="51BF47B5"/>
    <w:rsid w:val="54AE3C90"/>
    <w:rsid w:val="54F35BC1"/>
    <w:rsid w:val="55E81DC6"/>
    <w:rsid w:val="57C17501"/>
    <w:rsid w:val="57F31056"/>
    <w:rsid w:val="58E533AC"/>
    <w:rsid w:val="5AF23139"/>
    <w:rsid w:val="5BD103DF"/>
    <w:rsid w:val="5C0A1AA0"/>
    <w:rsid w:val="5C8D24F3"/>
    <w:rsid w:val="5DB77C92"/>
    <w:rsid w:val="605167FE"/>
    <w:rsid w:val="618C770A"/>
    <w:rsid w:val="64026B18"/>
    <w:rsid w:val="64BE2488"/>
    <w:rsid w:val="65A10345"/>
    <w:rsid w:val="66914055"/>
    <w:rsid w:val="68F00A9E"/>
    <w:rsid w:val="69B41FAC"/>
    <w:rsid w:val="6A4E251C"/>
    <w:rsid w:val="6AE13148"/>
    <w:rsid w:val="6B59496F"/>
    <w:rsid w:val="6BFB754B"/>
    <w:rsid w:val="6C886610"/>
    <w:rsid w:val="6D715D12"/>
    <w:rsid w:val="6D764333"/>
    <w:rsid w:val="6EA406C3"/>
    <w:rsid w:val="6F4E2EC6"/>
    <w:rsid w:val="6F8E32E7"/>
    <w:rsid w:val="6FB32C09"/>
    <w:rsid w:val="71116B35"/>
    <w:rsid w:val="71714B64"/>
    <w:rsid w:val="717C2DC2"/>
    <w:rsid w:val="72343809"/>
    <w:rsid w:val="72937E40"/>
    <w:rsid w:val="74983C18"/>
    <w:rsid w:val="75371DDB"/>
    <w:rsid w:val="7B6C0DEC"/>
    <w:rsid w:val="7C7D7E7B"/>
    <w:rsid w:val="7D7173B7"/>
    <w:rsid w:val="7DE45A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2020-01-17T01:01:00Z</dcterms:created>
  <dc:creator>Administrator</dc:creator>
  <cp:lastModifiedBy>Lily_Hu╰_╯</cp:lastModifiedBy>
  <cp:lastPrinted>2021-01-26T06:49:00Z</cp:lastPrinted>
  <dcterms:modified xsi:type="dcterms:W3CDTF">2021-01-26T08:09:41Z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