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60" w:beforeAutospacing="0" w:after="60" w:afterAutospacing="0" w:line="516" w:lineRule="atLeast"/>
        <w:ind w:left="0" w:right="0" w:firstLine="516"/>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张店区住建局2019年政府信息公开工作年度报告</w:t>
      </w:r>
    </w:p>
    <w:p>
      <w:pPr>
        <w:pStyle w:val="3"/>
        <w:keepNext w:val="0"/>
        <w:keepLines w:val="0"/>
        <w:widowControl/>
        <w:suppressLineNumbers w:val="0"/>
        <w:spacing w:before="60" w:beforeAutospacing="0" w:after="60" w:afterAutospacing="0" w:line="516" w:lineRule="atLeast"/>
        <w:ind w:left="0" w:right="0" w:firstLine="516"/>
        <w:jc w:val="center"/>
        <w:rPr>
          <w:rFonts w:hint="eastAsia" w:ascii="方正小标宋简体" w:hAnsi="方正小标宋简体" w:eastAsia="方正小标宋简体" w:cs="方正小标宋简体"/>
          <w:sz w:val="44"/>
          <w:szCs w:val="44"/>
        </w:rPr>
      </w:pPr>
    </w:p>
    <w:p>
      <w:pPr>
        <w:pStyle w:val="3"/>
        <w:keepNext w:val="0"/>
        <w:keepLines w:val="0"/>
        <w:widowControl/>
        <w:suppressLineNumbers w:val="0"/>
        <w:spacing w:before="60" w:beforeAutospacing="0" w:after="60" w:afterAutospacing="0" w:line="516" w:lineRule="atLeast"/>
        <w:ind w:left="0" w:right="0" w:firstLine="516"/>
      </w:pPr>
      <w:r>
        <w:rPr>
          <w:rFonts w:ascii="仿宋" w:hAnsi="仿宋" w:eastAsia="仿宋" w:cs="仿宋"/>
          <w:sz w:val="25"/>
          <w:szCs w:val="25"/>
        </w:rPr>
        <w:t>根据《中华人民共和国政府信息公开条例》</w:t>
      </w:r>
      <w:r>
        <w:rPr>
          <w:rFonts w:hint="eastAsia" w:ascii="仿宋" w:hAnsi="仿宋" w:eastAsia="仿宋" w:cs="仿宋"/>
          <w:sz w:val="25"/>
          <w:szCs w:val="25"/>
        </w:rPr>
        <w:t>（国务院令第711号）和上级文件要求，特向社会公布张店区住房和城乡建设局2019年信息公开年度报告。本报告由总体情况，主动公开政府信息情况，收到和处理政府信息公开申请情况，政府信息公开行政复议、行政诉讼情况，存在的主要问题及改进情况，其他需要报告的事项等六个部分组成。本报告中所列数据的统计期限自2019年1月1日起至2019年12月31日止。</w:t>
      </w:r>
    </w:p>
    <w:p>
      <w:pPr>
        <w:pStyle w:val="3"/>
        <w:keepNext w:val="0"/>
        <w:keepLines w:val="0"/>
        <w:widowControl/>
        <w:suppressLineNumbers w:val="0"/>
        <w:spacing w:before="60" w:beforeAutospacing="0" w:after="60" w:afterAutospacing="0" w:line="516" w:lineRule="atLeast"/>
        <w:ind w:left="0" w:right="0" w:firstLine="500"/>
      </w:pPr>
      <w:r>
        <w:rPr>
          <w:rFonts w:ascii="黑体" w:hAnsi="宋体" w:eastAsia="黑体" w:cs="黑体"/>
          <w:sz w:val="25"/>
          <w:szCs w:val="25"/>
        </w:rPr>
        <w:t>一</w:t>
      </w:r>
      <w:r>
        <w:rPr>
          <w:rFonts w:hint="eastAsia" w:ascii="黑体" w:hAnsi="宋体" w:eastAsia="黑体" w:cs="黑体"/>
          <w:sz w:val="25"/>
          <w:szCs w:val="25"/>
        </w:rPr>
        <w:t>、总体情况</w:t>
      </w:r>
    </w:p>
    <w:p>
      <w:pPr>
        <w:pStyle w:val="3"/>
        <w:keepNext w:val="0"/>
        <w:keepLines w:val="0"/>
        <w:widowControl/>
        <w:suppressLineNumbers w:val="0"/>
        <w:spacing w:before="60" w:beforeAutospacing="0" w:after="60" w:afterAutospacing="0" w:line="516" w:lineRule="atLeast"/>
        <w:ind w:left="0" w:right="0" w:firstLine="516"/>
      </w:pPr>
      <w:r>
        <w:rPr>
          <w:rFonts w:hint="eastAsia" w:ascii="仿宋" w:hAnsi="仿宋" w:eastAsia="仿宋" w:cs="仿宋"/>
          <w:sz w:val="25"/>
          <w:szCs w:val="25"/>
        </w:rPr>
        <w:t>2019年我局政务公开工作坚持以习近平新时代中国特色社会主义思想为指导，全面贯彻党的十九大精神，严格按照中央、省、市、区政府有关政府信息公开工作具体要求，围绕我区城市建设重点工作和公众关注关切，大力推进决策、执行、管理、服务、结果公开，推进政务公开制度化、规范化，切实提升政府信息公开工作实效性、便民性。</w:t>
      </w:r>
    </w:p>
    <w:p>
      <w:pPr>
        <w:pStyle w:val="3"/>
        <w:keepNext w:val="0"/>
        <w:keepLines w:val="0"/>
        <w:widowControl/>
        <w:suppressLineNumbers w:val="0"/>
        <w:spacing w:before="60" w:beforeAutospacing="0" w:after="60" w:afterAutospacing="0" w:line="516" w:lineRule="atLeast"/>
        <w:ind w:left="0" w:right="0" w:firstLine="516"/>
      </w:pPr>
      <w:r>
        <w:rPr>
          <w:rFonts w:ascii="楷体" w:hAnsi="楷体" w:eastAsia="楷体" w:cs="楷体"/>
          <w:sz w:val="25"/>
          <w:szCs w:val="25"/>
        </w:rPr>
        <w:t>（一）加强组织领导，细化工作责任。</w:t>
      </w:r>
      <w:r>
        <w:rPr>
          <w:rFonts w:hint="eastAsia" w:ascii="仿宋" w:hAnsi="仿宋" w:eastAsia="仿宋" w:cs="仿宋"/>
          <w:sz w:val="25"/>
          <w:szCs w:val="25"/>
        </w:rPr>
        <w:t>2019年，成立以局长为组长，党组成员为副组长，各科室及局属单位负责人为成员的政府信息公开工作领导小组，进一步明确了机关科室及局属单位职责分工，形成了由局长负总责，分管领导具体抓，具体工作专人抓的工作格局。</w:t>
      </w:r>
    </w:p>
    <w:p>
      <w:pPr>
        <w:pStyle w:val="3"/>
        <w:keepNext w:val="0"/>
        <w:keepLines w:val="0"/>
        <w:widowControl/>
        <w:suppressLineNumbers w:val="0"/>
        <w:spacing w:before="60" w:beforeAutospacing="0" w:after="60" w:afterAutospacing="0" w:line="516" w:lineRule="atLeast"/>
        <w:ind w:left="0" w:right="0" w:firstLine="516"/>
      </w:pPr>
      <w:r>
        <w:rPr>
          <w:rFonts w:hint="eastAsia" w:ascii="楷体" w:hAnsi="楷体" w:eastAsia="楷体" w:cs="楷体"/>
          <w:sz w:val="25"/>
          <w:szCs w:val="25"/>
        </w:rPr>
        <w:t>（二）健全工作机制，明确公开职责。</w:t>
      </w:r>
      <w:r>
        <w:rPr>
          <w:rFonts w:hint="eastAsia" w:ascii="仿宋" w:hAnsi="仿宋" w:eastAsia="仿宋" w:cs="仿宋"/>
          <w:sz w:val="25"/>
          <w:szCs w:val="25"/>
        </w:rPr>
        <w:t>为进一步加强政府信息公开工作标准化和规范化建设，不断完善内部信息审核与报送制度，认真落实政府信息公开目标考核制度、审核制度、申请公开制度和责任追究制度，严格落实保密审查制度，确保信息公开工作稳定持续开展。制定《张店区住房和城乡建设局2019年度政务公开工作方案》，进一步明确各单位、机关各科室信息公开工作中的职责和义务。</w:t>
      </w:r>
    </w:p>
    <w:p>
      <w:pPr>
        <w:pStyle w:val="3"/>
        <w:keepNext w:val="0"/>
        <w:keepLines w:val="0"/>
        <w:widowControl/>
        <w:suppressLineNumbers w:val="0"/>
        <w:spacing w:before="60" w:beforeAutospacing="0" w:after="60" w:afterAutospacing="0" w:line="516" w:lineRule="atLeast"/>
        <w:ind w:left="0" w:right="0" w:firstLine="516"/>
      </w:pPr>
      <w:r>
        <w:rPr>
          <w:rFonts w:hint="eastAsia" w:ascii="楷体" w:hAnsi="楷体" w:eastAsia="楷体" w:cs="楷体"/>
          <w:sz w:val="25"/>
          <w:szCs w:val="25"/>
        </w:rPr>
        <w:t>（三）加大公开力度，提升服务水平。</w:t>
      </w:r>
      <w:r>
        <w:rPr>
          <w:rFonts w:hint="eastAsia" w:ascii="仿宋" w:hAnsi="仿宋" w:eastAsia="仿宋" w:cs="仿宋"/>
          <w:sz w:val="25"/>
          <w:szCs w:val="25"/>
        </w:rPr>
        <w:t>2019年，张店区住建局按照政务公开工作要求，及时发布日常工作动态和工作文件，改进工作作风，方便群众办事和监督。2019年，主动在张店区人民政府网站中的“张店区住房和城乡建设局”公开政府信息183条，其中机构设置类3条，政策法规类10条，建议提案类45条，政府会议类6条，项目建设类13条，信用类信息37条，工作动态类及其他类信息69条。收到和处理政府信息公开申请7条，全部按时办结完毕，没有因政府信息公开被申请行政复议、提起行政诉讼的情况。</w:t>
      </w:r>
      <w:r>
        <w:rPr>
          <w:rFonts w:hint="eastAsia" w:ascii="仿宋" w:hAnsi="仿宋" w:eastAsia="仿宋" w:cs="仿宋"/>
          <w:sz w:val="25"/>
          <w:szCs w:val="25"/>
          <w:shd w:val="clear" w:fill="FFFFFF"/>
        </w:rPr>
        <w:t>共承办人大代表建议、政协委员提案45件，其中人大代表建议26件，政协委员提案19件，建议提案内容主要涉及市政基础设施建设、老旧小区改造、交通拥堵停车难、智慧城市、供热取暖等方面，已办结建议提案18件，三年内承诺办结提案10件，近期不能办理正在努力推进建议提案17件。</w:t>
      </w:r>
    </w:p>
    <w:p>
      <w:pPr>
        <w:pStyle w:val="3"/>
        <w:keepNext w:val="0"/>
        <w:keepLines w:val="0"/>
        <w:widowControl/>
        <w:suppressLineNumbers w:val="0"/>
        <w:spacing w:before="60" w:beforeAutospacing="0" w:after="60" w:afterAutospacing="0"/>
        <w:ind w:left="0" w:right="0" w:firstLine="516"/>
      </w:pPr>
      <w:r>
        <w:rPr>
          <w:rFonts w:hint="eastAsia" w:ascii="黑体" w:hAnsi="宋体" w:eastAsia="黑体" w:cs="黑体"/>
          <w:sz w:val="25"/>
          <w:szCs w:val="25"/>
        </w:rPr>
        <w:t>二、主动公开政府信息情况</w:t>
      </w:r>
    </w:p>
    <w:tbl>
      <w:tblPr>
        <w:tblW w:w="0" w:type="auto"/>
        <w:tblInd w:w="84" w:type="dxa"/>
        <w:shd w:val="clear"/>
        <w:tblLayout w:type="autofit"/>
        <w:tblCellMar>
          <w:top w:w="15" w:type="dxa"/>
          <w:left w:w="15" w:type="dxa"/>
          <w:bottom w:w="15" w:type="dxa"/>
          <w:right w:w="15" w:type="dxa"/>
        </w:tblCellMar>
      </w:tblPr>
      <w:tblGrid>
        <w:gridCol w:w="2340"/>
        <w:gridCol w:w="1932"/>
        <w:gridCol w:w="1068"/>
        <w:gridCol w:w="1512"/>
      </w:tblGrid>
      <w:tr>
        <w:tblPrEx>
          <w:shd w:val="clear"/>
          <w:tblCellMar>
            <w:top w:w="15" w:type="dxa"/>
            <w:left w:w="15" w:type="dxa"/>
            <w:bottom w:w="15" w:type="dxa"/>
            <w:right w:w="15" w:type="dxa"/>
          </w:tblCellMar>
        </w:tblPrEx>
        <w:tc>
          <w:tcPr>
            <w:tcW w:w="6852" w:type="dxa"/>
            <w:gridSpan w:val="4"/>
            <w:tcBorders>
              <w:top w:val="single" w:color="auto" w:sz="8" w:space="0"/>
              <w:left w:val="single" w:color="auto" w:sz="8" w:space="0"/>
              <w:bottom w:val="single" w:color="auto" w:sz="8" w:space="0"/>
              <w:right w:val="single" w:color="auto" w:sz="8" w:space="0"/>
            </w:tcBorders>
            <w:shd w:val="clear" w:color="auto" w:fill="C6D9F1"/>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第二十条第（一）项</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本年新制作数量</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本年新</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公开数量</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对外公开</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总数量</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规章</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规范性文件</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c>
          <w:tcPr>
            <w:tcW w:w="6852" w:type="dxa"/>
            <w:gridSpan w:val="4"/>
            <w:tcBorders>
              <w:top w:val="nil"/>
              <w:left w:val="single" w:color="auto" w:sz="8" w:space="0"/>
              <w:bottom w:val="single" w:color="auto" w:sz="8" w:space="0"/>
              <w:right w:val="single" w:color="auto" w:sz="8" w:space="0"/>
            </w:tcBorders>
            <w:shd w:val="clear" w:color="auto" w:fill="C6D9F1"/>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第二十条第（五）项</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上一年项目数量</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处理决定数量</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行政许可</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4</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增2</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371</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其他对外管理服务事项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34</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1875</w:t>
            </w:r>
          </w:p>
        </w:tc>
      </w:tr>
      <w:tr>
        <w:tblPrEx>
          <w:tblCellMar>
            <w:top w:w="15" w:type="dxa"/>
            <w:left w:w="15" w:type="dxa"/>
            <w:bottom w:w="15" w:type="dxa"/>
            <w:right w:w="15" w:type="dxa"/>
          </w:tblCellMar>
        </w:tblPrEx>
        <w:tc>
          <w:tcPr>
            <w:tcW w:w="6852" w:type="dxa"/>
            <w:gridSpan w:val="4"/>
            <w:tcBorders>
              <w:top w:val="nil"/>
              <w:left w:val="single" w:color="auto" w:sz="8" w:space="0"/>
              <w:bottom w:val="single" w:color="auto" w:sz="8" w:space="0"/>
              <w:right w:val="single" w:color="auto" w:sz="8" w:space="0"/>
            </w:tcBorders>
            <w:shd w:val="clear" w:color="auto" w:fill="C6D9F1"/>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第二十条第（六）项</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上一年项目数量</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处理决定数量</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行政处罚</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132</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减132</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192</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行政强制</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068"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51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c>
          <w:tcPr>
            <w:tcW w:w="6852" w:type="dxa"/>
            <w:gridSpan w:val="4"/>
            <w:tcBorders>
              <w:top w:val="nil"/>
              <w:left w:val="single" w:color="auto" w:sz="8" w:space="0"/>
              <w:bottom w:val="single" w:color="auto" w:sz="8" w:space="0"/>
              <w:right w:val="single" w:color="auto" w:sz="8" w:space="0"/>
            </w:tcBorders>
            <w:shd w:val="clear" w:color="auto" w:fill="C6D9F1"/>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第二十条第（八）项</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信息内容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上一年项目数量</w:t>
            </w:r>
          </w:p>
        </w:tc>
        <w:tc>
          <w:tcPr>
            <w:tcW w:w="2580" w:type="dxa"/>
            <w:gridSpan w:val="2"/>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行政事业性收费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2580" w:type="dxa"/>
            <w:gridSpan w:val="2"/>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c>
          <w:tcPr>
            <w:tcW w:w="6852" w:type="dxa"/>
            <w:gridSpan w:val="4"/>
            <w:tcBorders>
              <w:top w:val="nil"/>
              <w:left w:val="single" w:color="auto" w:sz="8" w:space="0"/>
              <w:bottom w:val="single" w:color="auto" w:sz="8" w:space="0"/>
              <w:right w:val="single" w:color="auto" w:sz="8" w:space="0"/>
            </w:tcBorders>
            <w:shd w:val="clear" w:color="auto" w:fill="C6D9F1"/>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第二十条第（九）项</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采购项目数量</w:t>
            </w:r>
          </w:p>
        </w:tc>
        <w:tc>
          <w:tcPr>
            <w:tcW w:w="2580" w:type="dxa"/>
            <w:gridSpan w:val="2"/>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采购总金额</w:t>
            </w:r>
          </w:p>
        </w:tc>
      </w:tr>
      <w:tr>
        <w:tblPrEx>
          <w:tblCellMar>
            <w:top w:w="15" w:type="dxa"/>
            <w:left w:w="15" w:type="dxa"/>
            <w:bottom w:w="15" w:type="dxa"/>
            <w:right w:w="15" w:type="dxa"/>
          </w:tblCellMar>
        </w:tblPrEx>
        <w:tc>
          <w:tcPr>
            <w:tcW w:w="2340" w:type="dxa"/>
            <w:tcBorders>
              <w:top w:val="nil"/>
              <w:left w:val="single" w:color="auto" w:sz="8" w:space="0"/>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9"/>
                <w:szCs w:val="19"/>
              </w:rPr>
              <w:t>政府集中采购</w:t>
            </w:r>
          </w:p>
        </w:tc>
        <w:tc>
          <w:tcPr>
            <w:tcW w:w="1932" w:type="dxa"/>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37项</w:t>
            </w:r>
          </w:p>
        </w:tc>
        <w:tc>
          <w:tcPr>
            <w:tcW w:w="2580" w:type="dxa"/>
            <w:gridSpan w:val="2"/>
            <w:tcBorders>
              <w:top w:val="nil"/>
              <w:left w:val="nil"/>
              <w:bottom w:val="single" w:color="auto" w:sz="8" w:space="0"/>
              <w:right w:val="single" w:color="auto" w:sz="8" w:space="0"/>
            </w:tcBorders>
            <w:shd w:val="clear"/>
            <w:tcMar>
              <w:top w:w="24" w:type="dxa"/>
              <w:left w:w="24" w:type="dxa"/>
              <w:bottom w:w="24" w:type="dxa"/>
              <w:right w:w="2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113162888.28元</w:t>
            </w:r>
          </w:p>
        </w:tc>
      </w:tr>
    </w:tbl>
    <w:p>
      <w:pPr>
        <w:pStyle w:val="3"/>
        <w:keepNext w:val="0"/>
        <w:keepLines w:val="0"/>
        <w:widowControl/>
        <w:suppressLineNumbers w:val="0"/>
        <w:spacing w:before="60" w:beforeAutospacing="0" w:after="60" w:afterAutospacing="0"/>
        <w:ind w:left="0" w:right="0" w:firstLine="516"/>
      </w:pPr>
      <w:r>
        <w:rPr>
          <w:rFonts w:hint="eastAsia" w:ascii="黑体" w:hAnsi="宋体" w:eastAsia="黑体" w:cs="黑体"/>
          <w:sz w:val="25"/>
          <w:szCs w:val="25"/>
        </w:rPr>
        <w:t>三、收到和处理政府信息公开申请情况</w:t>
      </w:r>
    </w:p>
    <w:tbl>
      <w:tblPr>
        <w:tblW w:w="7260" w:type="dxa"/>
        <w:tblInd w:w="24" w:type="dxa"/>
        <w:shd w:val="clear"/>
        <w:tblLayout w:type="autofit"/>
        <w:tblCellMar>
          <w:top w:w="15" w:type="dxa"/>
          <w:left w:w="15" w:type="dxa"/>
          <w:bottom w:w="15" w:type="dxa"/>
          <w:right w:w="15" w:type="dxa"/>
        </w:tblCellMar>
      </w:tblPr>
      <w:tblGrid>
        <w:gridCol w:w="488"/>
        <w:gridCol w:w="1045"/>
        <w:gridCol w:w="1928"/>
        <w:gridCol w:w="616"/>
        <w:gridCol w:w="328"/>
        <w:gridCol w:w="328"/>
        <w:gridCol w:w="328"/>
        <w:gridCol w:w="328"/>
        <w:gridCol w:w="906"/>
        <w:gridCol w:w="965"/>
      </w:tblGrid>
      <w:tr>
        <w:tblPrEx>
          <w:shd w:val="clear"/>
          <w:tblCellMar>
            <w:top w:w="15" w:type="dxa"/>
            <w:left w:w="15" w:type="dxa"/>
            <w:bottom w:w="15" w:type="dxa"/>
            <w:right w:w="15" w:type="dxa"/>
          </w:tblCellMar>
        </w:tblPrEx>
        <w:trPr>
          <w:trHeight w:val="336" w:hRule="atLeast"/>
        </w:trPr>
        <w:tc>
          <w:tcPr>
            <w:tcW w:w="3828" w:type="dxa"/>
            <w:gridSpan w:val="3"/>
            <w:vMerge w:val="restart"/>
            <w:tcBorders>
              <w:top w:val="single" w:color="auto" w:sz="8" w:space="0"/>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6"/>
                <w:szCs w:val="16"/>
              </w:rPr>
              <w:t>（本列数据的勾稽关系为：第一项加第二项之和，</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6"/>
                <w:szCs w:val="16"/>
              </w:rPr>
              <w:t>等于第三项加第四项之和）</w:t>
            </w:r>
          </w:p>
        </w:tc>
        <w:tc>
          <w:tcPr>
            <w:tcW w:w="3432" w:type="dxa"/>
            <w:gridSpan w:val="7"/>
            <w:tcBorders>
              <w:top w:val="single" w:color="auto" w:sz="8" w:space="0"/>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申请人情况</w:t>
            </w:r>
          </w:p>
        </w:tc>
      </w:tr>
      <w:tr>
        <w:tblPrEx>
          <w:tblCellMar>
            <w:top w:w="15" w:type="dxa"/>
            <w:left w:w="15" w:type="dxa"/>
            <w:bottom w:w="15" w:type="dxa"/>
            <w:right w:w="15" w:type="dxa"/>
          </w:tblCellMar>
        </w:tblPrEx>
        <w:trPr>
          <w:trHeight w:val="336" w:hRule="atLeast"/>
        </w:trPr>
        <w:tc>
          <w:tcPr>
            <w:tcW w:w="3828"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684"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6"/>
                <w:szCs w:val="16"/>
              </w:rPr>
              <w:t>自然人</w:t>
            </w:r>
          </w:p>
        </w:tc>
        <w:tc>
          <w:tcPr>
            <w:tcW w:w="2244" w:type="dxa"/>
            <w:gridSpan w:val="5"/>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法人或其他组织</w:t>
            </w:r>
          </w:p>
        </w:tc>
        <w:tc>
          <w:tcPr>
            <w:tcW w:w="504"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6"/>
                <w:szCs w:val="16"/>
              </w:rPr>
              <w:t>总计</w:t>
            </w:r>
          </w:p>
        </w:tc>
      </w:tr>
      <w:tr>
        <w:tblPrEx>
          <w:tblCellMar>
            <w:top w:w="15" w:type="dxa"/>
            <w:left w:w="15" w:type="dxa"/>
            <w:bottom w:w="15" w:type="dxa"/>
            <w:right w:w="15" w:type="dxa"/>
          </w:tblCellMar>
        </w:tblPrEx>
        <w:trPr>
          <w:trHeight w:val="900" w:hRule="atLeast"/>
        </w:trPr>
        <w:tc>
          <w:tcPr>
            <w:tcW w:w="3828"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684"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商业企业</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科研机构</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社会公益组织</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z w:val="16"/>
                <w:szCs w:val="16"/>
              </w:rPr>
              <w:t>法律服务机构</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88" w:lineRule="atLeast"/>
              <w:ind w:left="0" w:right="0"/>
              <w:jc w:val="center"/>
            </w:pPr>
            <w:r>
              <w:rPr>
                <w:rFonts w:hint="eastAsia" w:ascii="宋体" w:hAnsi="宋体" w:eastAsia="宋体" w:cs="宋体"/>
                <w:sz w:val="16"/>
                <w:szCs w:val="16"/>
              </w:rPr>
              <w:t>其他</w:t>
            </w:r>
          </w:p>
        </w:tc>
        <w:tc>
          <w:tcPr>
            <w:tcW w:w="504"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r>
      <w:tr>
        <w:tblPrEx>
          <w:tblCellMar>
            <w:top w:w="15" w:type="dxa"/>
            <w:left w:w="15" w:type="dxa"/>
            <w:bottom w:w="15" w:type="dxa"/>
            <w:right w:w="15" w:type="dxa"/>
          </w:tblCellMar>
        </w:tblPrEx>
        <w:tc>
          <w:tcPr>
            <w:tcW w:w="3828" w:type="dxa"/>
            <w:gridSpan w:val="3"/>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6"/>
                <w:szCs w:val="16"/>
              </w:rPr>
              <w:t>一、本年新收政府信息公开申请数量</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ascii="Calibri" w:hAnsi="Calibri" w:cs="Calibri"/>
                <w:sz w:val="16"/>
                <w:szCs w:val="16"/>
              </w:rPr>
              <w:t>7</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7</w:t>
            </w:r>
          </w:p>
        </w:tc>
      </w:tr>
      <w:tr>
        <w:tblPrEx>
          <w:tblCellMar>
            <w:top w:w="15" w:type="dxa"/>
            <w:left w:w="15" w:type="dxa"/>
            <w:bottom w:w="15" w:type="dxa"/>
            <w:right w:w="15" w:type="dxa"/>
          </w:tblCellMar>
        </w:tblPrEx>
        <w:tc>
          <w:tcPr>
            <w:tcW w:w="3828" w:type="dxa"/>
            <w:gridSpan w:val="3"/>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6"/>
                <w:szCs w:val="16"/>
              </w:rPr>
              <w:t>二、上年结转政府信息公开申请数量</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c>
          <w:tcPr>
            <w:tcW w:w="420" w:type="dxa"/>
            <w:vMerge w:val="restart"/>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pPr>
            <w:r>
              <w:rPr>
                <w:rFonts w:hint="eastAsia" w:ascii="宋体" w:hAnsi="宋体" w:eastAsia="宋体" w:cs="宋体"/>
                <w:sz w:val="16"/>
                <w:szCs w:val="16"/>
              </w:rPr>
              <w:t>三、本年度办理结果</w:t>
            </w:r>
          </w:p>
        </w:tc>
        <w:tc>
          <w:tcPr>
            <w:tcW w:w="3408" w:type="dxa"/>
            <w:gridSpan w:val="2"/>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（一）予以公开</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1</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1</w:t>
            </w:r>
          </w:p>
        </w:tc>
      </w:tr>
      <w:tr>
        <w:tblPrEx>
          <w:tblCellMar>
            <w:top w:w="15" w:type="dxa"/>
            <w:left w:w="15" w:type="dxa"/>
            <w:bottom w:w="15" w:type="dxa"/>
            <w:right w:w="15" w:type="dxa"/>
          </w:tblCellMar>
        </w:tblPrEx>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3408" w:type="dxa"/>
            <w:gridSpan w:val="2"/>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（二）部分公开（区分处理的，只计这一情形，不计其他情形）</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（三）不予公开</w:t>
            </w: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1.属于国家秘密</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2.其他法律行政法规禁止公开</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3.危及“三安全一稳定”</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4.保护第三方合法权益</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5.属于三类内部事务信息</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6.属于四类过程性信息</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7.属于行政执法案卷</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8.属于行政查询事项</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（四）无法提供</w:t>
            </w: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1.本机关不掌握相关政府信息</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5</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5</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2.没有现成信息需要另行制作</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3.补正后申请内容仍不明确</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（五）不予处理</w:t>
            </w: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1.信访举报投诉类申请</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2.重复申请</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60"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3.要求提供公开出版物</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12"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4.无正当理由大量反复申请</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14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15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40" w:lineRule="atLeast"/>
              <w:ind w:left="0" w:right="0"/>
            </w:pPr>
            <w:r>
              <w:rPr>
                <w:rFonts w:hint="eastAsia" w:ascii="楷体" w:hAnsi="楷体" w:eastAsia="楷体" w:cs="楷体"/>
                <w:sz w:val="16"/>
                <w:szCs w:val="16"/>
              </w:rPr>
              <w:t>5.要求行政机关确认或重新</w:t>
            </w:r>
          </w:p>
          <w:p>
            <w:pPr>
              <w:pStyle w:val="3"/>
              <w:keepNext w:val="0"/>
              <w:keepLines w:val="0"/>
              <w:widowControl/>
              <w:suppressLineNumbers w:val="0"/>
              <w:spacing w:before="0" w:beforeAutospacing="0" w:after="0" w:afterAutospacing="0" w:line="240" w:lineRule="atLeast"/>
              <w:ind w:left="0" w:right="0" w:firstLine="168"/>
            </w:pPr>
            <w:r>
              <w:rPr>
                <w:rFonts w:hint="eastAsia" w:ascii="楷体" w:hAnsi="楷体" w:eastAsia="楷体" w:cs="楷体"/>
                <w:sz w:val="16"/>
                <w:szCs w:val="16"/>
              </w:rPr>
              <w:t>出具已获取信息</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r>
      <w:tr>
        <w:tblPrEx>
          <w:tblCellMar>
            <w:top w:w="15" w:type="dxa"/>
            <w:left w:w="15" w:type="dxa"/>
            <w:bottom w:w="15" w:type="dxa"/>
            <w:right w:w="15" w:type="dxa"/>
          </w:tblCellMar>
        </w:tblPrEx>
        <w:trPr>
          <w:trHeight w:val="312"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3408" w:type="dxa"/>
            <w:gridSpan w:val="2"/>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（六）其他处理</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1</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1</w:t>
            </w:r>
          </w:p>
        </w:tc>
      </w:tr>
      <w:tr>
        <w:tblPrEx>
          <w:tblCellMar>
            <w:top w:w="15" w:type="dxa"/>
            <w:left w:w="15" w:type="dxa"/>
            <w:bottom w:w="15" w:type="dxa"/>
            <w:right w:w="15" w:type="dxa"/>
          </w:tblCellMar>
        </w:tblPrEx>
        <w:trPr>
          <w:trHeight w:val="312" w:hRule="atLeast"/>
        </w:trPr>
        <w:tc>
          <w:tcPr>
            <w:tcW w:w="42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3408" w:type="dxa"/>
            <w:gridSpan w:val="2"/>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楷体" w:hAnsi="楷体" w:eastAsia="楷体" w:cs="楷体"/>
                <w:sz w:val="16"/>
                <w:szCs w:val="16"/>
              </w:rPr>
              <w:t>（七）总计</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7</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jc w:val="left"/>
            </w:pPr>
            <w:r>
              <w:rPr>
                <w:rFonts w:hint="default" w:ascii="Calibri" w:hAnsi="Calibri" w:cs="Calibri"/>
                <w:sz w:val="16"/>
                <w:szCs w:val="16"/>
                <w:bdr w:val="none" w:color="auto" w:sz="0" w:space="0"/>
              </w:rPr>
              <w:t> </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7</w:t>
            </w:r>
          </w:p>
        </w:tc>
      </w:tr>
      <w:tr>
        <w:tblPrEx>
          <w:tblCellMar>
            <w:top w:w="15" w:type="dxa"/>
            <w:left w:w="15" w:type="dxa"/>
            <w:bottom w:w="15" w:type="dxa"/>
            <w:right w:w="15" w:type="dxa"/>
          </w:tblCellMar>
        </w:tblPrEx>
        <w:tc>
          <w:tcPr>
            <w:tcW w:w="3828" w:type="dxa"/>
            <w:gridSpan w:val="3"/>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6"/>
                <w:szCs w:val="16"/>
              </w:rPr>
              <w:t>四、结转下年度继续办理</w:t>
            </w:r>
          </w:p>
        </w:tc>
        <w:tc>
          <w:tcPr>
            <w:tcW w:w="6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30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432"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144" w:afterAutospacing="0"/>
              <w:ind w:left="0" w:right="0"/>
              <w:jc w:val="center"/>
            </w:pPr>
            <w:r>
              <w:rPr>
                <w:rFonts w:hint="default" w:ascii="Calibri" w:hAnsi="Calibri" w:cs="Calibri"/>
                <w:sz w:val="16"/>
                <w:szCs w:val="16"/>
              </w:rPr>
              <w:t>0</w:t>
            </w:r>
          </w:p>
        </w:tc>
        <w:tc>
          <w:tcPr>
            <w:tcW w:w="50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6"/>
                <w:szCs w:val="16"/>
              </w:rPr>
              <w:t>0</w:t>
            </w:r>
          </w:p>
        </w:tc>
      </w:tr>
    </w:tbl>
    <w:p>
      <w:pPr>
        <w:pStyle w:val="3"/>
        <w:keepNext w:val="0"/>
        <w:keepLines w:val="0"/>
        <w:widowControl/>
        <w:suppressLineNumbers w:val="0"/>
        <w:spacing w:before="60" w:beforeAutospacing="0" w:after="60" w:afterAutospacing="0"/>
        <w:ind w:left="0" w:right="0"/>
      </w:pPr>
      <w:r>
        <w:rPr>
          <w:rFonts w:hint="default" w:ascii="Calibri" w:hAnsi="Calibri" w:cs="Calibri"/>
          <w:sz w:val="25"/>
          <w:szCs w:val="25"/>
        </w:rPr>
        <w:t> </w:t>
      </w:r>
      <w:r>
        <w:rPr>
          <w:rFonts w:hint="default" w:ascii="Calibri" w:hAnsi="Calibri" w:cs="Calibri"/>
          <w:sz w:val="16"/>
          <w:szCs w:val="16"/>
        </w:rPr>
        <w:t> </w:t>
      </w:r>
      <w:r>
        <w:rPr>
          <w:rFonts w:hint="default" w:ascii="Calibri" w:hAnsi="Calibri" w:cs="Calibri"/>
          <w:sz w:val="25"/>
          <w:szCs w:val="25"/>
        </w:rPr>
        <w:t> </w:t>
      </w:r>
      <w:r>
        <w:rPr>
          <w:rFonts w:hint="default" w:ascii="Calibri" w:hAnsi="Calibri" w:cs="Calibri"/>
          <w:sz w:val="16"/>
          <w:szCs w:val="16"/>
        </w:rPr>
        <w:t> </w:t>
      </w:r>
      <w:r>
        <w:rPr>
          <w:rFonts w:hint="default" w:ascii="Calibri" w:hAnsi="Calibri" w:cs="Calibri"/>
          <w:sz w:val="25"/>
          <w:szCs w:val="25"/>
        </w:rPr>
        <w:t> </w:t>
      </w:r>
      <w:r>
        <w:rPr>
          <w:rFonts w:hint="default" w:ascii="Calibri" w:hAnsi="Calibri" w:cs="Calibri"/>
          <w:sz w:val="16"/>
          <w:szCs w:val="16"/>
        </w:rPr>
        <w:t> </w:t>
      </w:r>
      <w:r>
        <w:rPr>
          <w:rFonts w:hint="eastAsia" w:ascii="黑体" w:hAnsi="宋体" w:eastAsia="黑体" w:cs="黑体"/>
          <w:sz w:val="25"/>
          <w:szCs w:val="25"/>
        </w:rPr>
        <w:t>四、政府信息公开行政复议、行政诉讼情况</w:t>
      </w:r>
    </w:p>
    <w:tbl>
      <w:tblPr>
        <w:tblW w:w="7260" w:type="dxa"/>
        <w:tblInd w:w="24" w:type="dxa"/>
        <w:shd w:val="clear"/>
        <w:tblLayout w:type="autofit"/>
        <w:tblCellMar>
          <w:top w:w="15" w:type="dxa"/>
          <w:left w:w="15" w:type="dxa"/>
          <w:bottom w:w="15" w:type="dxa"/>
          <w:right w:w="15" w:type="dxa"/>
        </w:tblCellMar>
      </w:tblPr>
      <w:tblGrid>
        <w:gridCol w:w="480"/>
        <w:gridCol w:w="480"/>
        <w:gridCol w:w="480"/>
        <w:gridCol w:w="480"/>
        <w:gridCol w:w="396"/>
        <w:gridCol w:w="588"/>
        <w:gridCol w:w="480"/>
        <w:gridCol w:w="480"/>
        <w:gridCol w:w="480"/>
        <w:gridCol w:w="492"/>
        <w:gridCol w:w="480"/>
        <w:gridCol w:w="480"/>
        <w:gridCol w:w="480"/>
        <w:gridCol w:w="480"/>
        <w:gridCol w:w="504"/>
      </w:tblGrid>
      <w:tr>
        <w:tblPrEx>
          <w:tblCellMar>
            <w:top w:w="15" w:type="dxa"/>
            <w:left w:w="15" w:type="dxa"/>
            <w:bottom w:w="15" w:type="dxa"/>
            <w:right w:w="15" w:type="dxa"/>
          </w:tblCellMar>
        </w:tblPrEx>
        <w:trPr>
          <w:trHeight w:val="396" w:hRule="atLeast"/>
        </w:trPr>
        <w:tc>
          <w:tcPr>
            <w:tcW w:w="2316" w:type="dxa"/>
            <w:gridSpan w:val="5"/>
            <w:tcBorders>
              <w:top w:val="single" w:color="auto" w:sz="8" w:space="0"/>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4"/>
                <w:szCs w:val="14"/>
              </w:rPr>
              <w:t>行政复议</w:t>
            </w:r>
          </w:p>
        </w:tc>
        <w:tc>
          <w:tcPr>
            <w:tcW w:w="4944" w:type="dxa"/>
            <w:gridSpan w:val="10"/>
            <w:tcBorders>
              <w:top w:val="single" w:color="auto" w:sz="8" w:space="0"/>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4"/>
                <w:szCs w:val="14"/>
              </w:rPr>
              <w:t>行政诉讼</w:t>
            </w:r>
          </w:p>
        </w:tc>
      </w:tr>
      <w:tr>
        <w:tblPrEx>
          <w:tblCellMar>
            <w:top w:w="15" w:type="dxa"/>
            <w:left w:w="15" w:type="dxa"/>
            <w:bottom w:w="15" w:type="dxa"/>
            <w:right w:w="15" w:type="dxa"/>
          </w:tblCellMar>
        </w:tblPrEx>
        <w:trPr>
          <w:trHeight w:val="432" w:hRule="atLeast"/>
        </w:trPr>
        <w:tc>
          <w:tcPr>
            <w:tcW w:w="480" w:type="dxa"/>
            <w:vMerge w:val="restart"/>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维持</w:t>
            </w:r>
          </w:p>
        </w:tc>
        <w:tc>
          <w:tcPr>
            <w:tcW w:w="48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结果纠正</w:t>
            </w:r>
          </w:p>
        </w:tc>
        <w:tc>
          <w:tcPr>
            <w:tcW w:w="48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其他结果</w:t>
            </w:r>
          </w:p>
        </w:tc>
        <w:tc>
          <w:tcPr>
            <w:tcW w:w="480"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尚未</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审结</w:t>
            </w:r>
          </w:p>
        </w:tc>
        <w:tc>
          <w:tcPr>
            <w:tcW w:w="384" w:type="dxa"/>
            <w:vMerge w:val="restart"/>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总</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计</w:t>
            </w:r>
          </w:p>
        </w:tc>
        <w:tc>
          <w:tcPr>
            <w:tcW w:w="2520" w:type="dxa"/>
            <w:gridSpan w:val="5"/>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4"/>
                <w:szCs w:val="14"/>
              </w:rPr>
              <w:t>未经复议直接起诉</w:t>
            </w:r>
          </w:p>
        </w:tc>
        <w:tc>
          <w:tcPr>
            <w:tcW w:w="2424" w:type="dxa"/>
            <w:gridSpan w:val="5"/>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14"/>
                <w:szCs w:val="14"/>
              </w:rPr>
              <w:t>复议后起诉</w:t>
            </w:r>
          </w:p>
        </w:tc>
      </w:tr>
      <w:tr>
        <w:tblPrEx>
          <w:tblCellMar>
            <w:top w:w="15" w:type="dxa"/>
            <w:left w:w="15" w:type="dxa"/>
            <w:bottom w:w="15" w:type="dxa"/>
            <w:right w:w="15" w:type="dxa"/>
          </w:tblCellMar>
        </w:tblPrEx>
        <w:trPr>
          <w:trHeight w:val="720" w:hRule="atLeast"/>
        </w:trPr>
        <w:tc>
          <w:tcPr>
            <w:tcW w:w="480" w:type="dxa"/>
            <w:vMerge w:val="continue"/>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48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48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480"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384" w:type="dxa"/>
            <w:vMerge w:val="continue"/>
            <w:tcBorders>
              <w:top w:val="nil"/>
              <w:left w:val="nil"/>
              <w:bottom w:val="single" w:color="auto" w:sz="8" w:space="0"/>
              <w:right w:val="single" w:color="auto" w:sz="8" w:space="0"/>
            </w:tcBorders>
            <w:shd w:val="clear"/>
            <w:tcMar>
              <w:top w:w="0" w:type="dxa"/>
              <w:left w:w="84" w:type="dxa"/>
              <w:bottom w:w="0" w:type="dxa"/>
              <w:right w:w="84" w:type="dxa"/>
            </w:tcMar>
            <w:vAlign w:val="center"/>
          </w:tcPr>
          <w:p>
            <w:pPr>
              <w:rPr>
                <w:rFonts w:hint="eastAsia" w:ascii="宋体"/>
                <w:sz w:val="24"/>
                <w:szCs w:val="24"/>
              </w:rPr>
            </w:pPr>
          </w:p>
        </w:tc>
        <w:tc>
          <w:tcPr>
            <w:tcW w:w="588"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结果维持</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结果纠正</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其他</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尚未</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审结</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总计</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结果维持</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纠正</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其他</w:t>
            </w:r>
          </w:p>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结果</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尚未审结</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Fonts w:hint="eastAsia" w:ascii="宋体" w:hAnsi="宋体" w:eastAsia="宋体" w:cs="宋体"/>
                <w:sz w:val="14"/>
                <w:szCs w:val="14"/>
              </w:rPr>
              <w:t>总计</w:t>
            </w:r>
          </w:p>
        </w:tc>
      </w:tr>
      <w:tr>
        <w:tblPrEx>
          <w:tblCellMar>
            <w:top w:w="15" w:type="dxa"/>
            <w:left w:w="15" w:type="dxa"/>
            <w:bottom w:w="15" w:type="dxa"/>
            <w:right w:w="15" w:type="dxa"/>
          </w:tblCellMar>
        </w:tblPrEx>
        <w:trPr>
          <w:trHeight w:val="516" w:hRule="atLeast"/>
        </w:trPr>
        <w:tc>
          <w:tcPr>
            <w:tcW w:w="480" w:type="dxa"/>
            <w:tcBorders>
              <w:top w:val="nil"/>
              <w:left w:val="single" w:color="auto" w:sz="8" w:space="0"/>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384"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588"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c>
          <w:tcPr>
            <w:tcW w:w="480" w:type="dxa"/>
            <w:tcBorders>
              <w:top w:val="nil"/>
              <w:left w:val="nil"/>
              <w:bottom w:val="single" w:color="auto" w:sz="8" w:space="0"/>
              <w:right w:val="single" w:color="auto" w:sz="8" w:space="0"/>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z w:val="16"/>
                <w:szCs w:val="16"/>
              </w:rPr>
              <w:t>0</w:t>
            </w:r>
          </w:p>
        </w:tc>
      </w:tr>
    </w:tbl>
    <w:p>
      <w:pPr>
        <w:pStyle w:val="3"/>
        <w:keepNext w:val="0"/>
        <w:keepLines w:val="0"/>
        <w:widowControl/>
        <w:suppressLineNumbers w:val="0"/>
        <w:spacing w:before="60" w:beforeAutospacing="0" w:after="60" w:afterAutospacing="0"/>
        <w:ind w:left="0" w:right="0" w:firstLine="516"/>
      </w:pPr>
      <w:r>
        <w:rPr>
          <w:rFonts w:hint="eastAsia" w:ascii="黑体" w:hAnsi="宋体" w:eastAsia="黑体" w:cs="黑体"/>
          <w:sz w:val="25"/>
          <w:szCs w:val="25"/>
        </w:rPr>
        <w:t>五、存在的主要问题及改进情况</w:t>
      </w:r>
    </w:p>
    <w:p>
      <w:pPr>
        <w:pStyle w:val="3"/>
        <w:keepNext w:val="0"/>
        <w:keepLines w:val="0"/>
        <w:widowControl/>
        <w:suppressLineNumbers w:val="0"/>
        <w:spacing w:before="60" w:beforeAutospacing="0" w:after="60" w:afterAutospacing="0"/>
        <w:ind w:left="0" w:right="0" w:firstLine="500" w:firstLineChars="200"/>
      </w:pPr>
      <w:r>
        <w:rPr>
          <w:rFonts w:hint="eastAsia" w:ascii="仿宋" w:hAnsi="仿宋" w:eastAsia="仿宋" w:cs="仿宋"/>
          <w:sz w:val="25"/>
          <w:szCs w:val="25"/>
        </w:rPr>
        <w:t xml:space="preserve"> 2019年我局政务信息公开工作取得了一定成效，但也存在一些问题，一是政府信息公开工作运行机制仍需继续完善和规范。二是信息报送的时效性、全面性还有待于进一步提高。2020年，我局将继续以贯彻落实《中华人民共和国政府信息公开条例》为重点，严格按照“公开为原则，不公开为例外”原则，不断完善信息公开工作机制，拓展信息公开范围，切实做好信息公开工作，将政府信息公开工作推进到一个新的水平。</w:t>
      </w:r>
    </w:p>
    <w:p>
      <w:pPr>
        <w:pStyle w:val="3"/>
        <w:keepNext w:val="0"/>
        <w:keepLines w:val="0"/>
        <w:widowControl/>
        <w:suppressLineNumbers w:val="0"/>
        <w:spacing w:before="60" w:beforeAutospacing="0" w:after="60" w:afterAutospacing="0"/>
        <w:ind w:left="0" w:right="0" w:firstLine="500" w:firstLineChars="200"/>
      </w:pPr>
      <w:r>
        <w:rPr>
          <w:rFonts w:hint="eastAsia" w:ascii="仿宋" w:hAnsi="仿宋" w:eastAsia="仿宋" w:cs="仿宋"/>
          <w:sz w:val="25"/>
          <w:szCs w:val="25"/>
        </w:rPr>
        <w:t>一是进一步充实信息公开内容，加强对重点城建项目、建筑领域安全生产等信息的公开，切实发挥好信息公开平台的桥梁作用。</w:t>
      </w:r>
    </w:p>
    <w:p>
      <w:pPr>
        <w:pStyle w:val="3"/>
        <w:keepNext w:val="0"/>
        <w:keepLines w:val="0"/>
        <w:widowControl/>
        <w:suppressLineNumbers w:val="0"/>
        <w:spacing w:before="60" w:beforeAutospacing="0" w:after="60" w:afterAutospacing="0"/>
        <w:ind w:left="0" w:right="0" w:firstLine="500" w:firstLineChars="200"/>
      </w:pPr>
      <w:r>
        <w:rPr>
          <w:rFonts w:hint="eastAsia" w:ascii="仿宋" w:hAnsi="仿宋" w:eastAsia="仿宋" w:cs="仿宋"/>
          <w:sz w:val="25"/>
          <w:szCs w:val="25"/>
        </w:rPr>
        <w:t>二是进一步加强信息公开制度建设，建立健全信息公开工作长效机制，把政府信息公开工作作为长期动态工作落到实处，确保公开信息的及时性、准确性和有效性。</w:t>
      </w:r>
    </w:p>
    <w:p>
      <w:pPr>
        <w:pStyle w:val="3"/>
        <w:keepNext w:val="0"/>
        <w:keepLines w:val="0"/>
        <w:widowControl/>
        <w:suppressLineNumbers w:val="0"/>
        <w:spacing w:before="60" w:beforeAutospacing="0" w:after="60" w:afterAutospacing="0"/>
        <w:ind w:left="0" w:right="0" w:firstLine="500" w:firstLineChars="200"/>
      </w:pPr>
      <w:r>
        <w:rPr>
          <w:rFonts w:hint="eastAsia" w:ascii="仿宋" w:hAnsi="仿宋" w:eastAsia="仿宋" w:cs="仿宋"/>
          <w:sz w:val="25"/>
          <w:szCs w:val="25"/>
        </w:rPr>
        <w:t>三是进一步拓展信息公开的平台，主动借助微信、互联网、报纸等各类媒体，更为广泛宣传城建工作。</w:t>
      </w:r>
    </w:p>
    <w:p>
      <w:pPr>
        <w:pStyle w:val="3"/>
        <w:keepNext w:val="0"/>
        <w:keepLines w:val="0"/>
        <w:widowControl/>
        <w:suppressLineNumbers w:val="0"/>
        <w:spacing w:before="60" w:beforeAutospacing="0" w:after="60" w:afterAutospacing="0"/>
        <w:ind w:left="0" w:right="0" w:firstLine="500" w:firstLineChars="200"/>
      </w:pPr>
      <w:bookmarkStart w:id="0" w:name="_GoBack"/>
      <w:bookmarkEnd w:id="0"/>
      <w:r>
        <w:rPr>
          <w:rFonts w:hint="eastAsia" w:ascii="仿宋" w:hAnsi="仿宋" w:eastAsia="仿宋" w:cs="仿宋"/>
          <w:sz w:val="25"/>
          <w:szCs w:val="25"/>
        </w:rPr>
        <w:t>四是继续提高信息公开工作人员的业务水平，保障信息公开质量，把信息公开作为服务群众、方便群众的信息平台。</w:t>
      </w:r>
    </w:p>
    <w:p>
      <w:pPr>
        <w:pStyle w:val="3"/>
        <w:keepNext w:val="0"/>
        <w:keepLines w:val="0"/>
        <w:widowControl/>
        <w:suppressLineNumbers w:val="0"/>
        <w:spacing w:before="60" w:beforeAutospacing="0" w:after="60" w:afterAutospacing="0"/>
        <w:ind w:left="0" w:right="0" w:firstLine="516"/>
      </w:pPr>
      <w:r>
        <w:rPr>
          <w:rFonts w:hint="eastAsia" w:ascii="黑体" w:hAnsi="宋体" w:eastAsia="黑体" w:cs="黑体"/>
          <w:sz w:val="25"/>
          <w:szCs w:val="25"/>
        </w:rPr>
        <w:t>六、其他需要报告的事项</w:t>
      </w:r>
    </w:p>
    <w:p>
      <w:pPr>
        <w:pStyle w:val="3"/>
        <w:keepNext w:val="0"/>
        <w:keepLines w:val="0"/>
        <w:widowControl/>
        <w:suppressLineNumbers w:val="0"/>
      </w:pPr>
      <w:r>
        <w:rPr>
          <w:rFonts w:hint="eastAsia" w:ascii="仿宋" w:hAnsi="仿宋" w:eastAsia="仿宋" w:cs="仿宋"/>
          <w:sz w:val="25"/>
          <w:szCs w:val="25"/>
        </w:rPr>
        <w:t>因综合行政执法体制改革，张店区住建局所有行政处罚职能划转至张店区综合行政执法局。政务公开报告中统计数据不包含代管单位张店区人民防空事业服务中心、张店区住房保障事务服务中心，特此说明。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E4982"/>
    <w:rsid w:val="41AC2B8A"/>
    <w:rsid w:val="41BE4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b/>
      <w:kern w:val="44"/>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2021-02-09T01:58:00Z</dcterms:created>
  <dc:creator>静姝冯</dc:creator>
  <cp:lastModifiedBy>静姝冯</cp:lastModifiedBy>
  <dcterms:modified xsi:type="dcterms:W3CDTF">2021-02-09T02:01:08Z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