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0"/>
        <w:jc w:val="left"/>
        <w:textAlignment w:val="auto"/>
        <w:outlineLvl w:val="9"/>
        <w:rPr>
          <w:rFonts w:hint="eastAsia" w:ascii="Times New Roman" w:hAnsi="Times New Roman" w:eastAsia="黑体" w:cs="黑体"/>
          <w:b w:val="0"/>
          <w:bCs/>
          <w:i w:val="0"/>
          <w:caps w:val="0"/>
          <w:color w:val="333333"/>
          <w:spacing w:val="-17"/>
          <w:sz w:val="32"/>
          <w:szCs w:val="32"/>
          <w:shd w:val="clear" w:color="090000" w:fill="FFFFFF"/>
          <w:lang w:val="en-US" w:eastAsia="zh-CN"/>
        </w:rPr>
      </w:pP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0"/>
        <w:jc w:val="both"/>
        <w:textAlignment w:val="auto"/>
        <w:outlineLvl w:val="9"/>
        <w:rPr>
          <w:rFonts w:hint="eastAsia" w:ascii="Times New Roman" w:hAnsi="Times New Roman" w:eastAsia="方正小标宋简体" w:cs="方正小标宋简体"/>
          <w:b w:val="0"/>
          <w:bCs/>
          <w:i w:val="0"/>
          <w:caps w:val="0"/>
          <w:color w:val="333333"/>
          <w:spacing w:val="-17"/>
          <w:sz w:val="44"/>
          <w:szCs w:val="44"/>
          <w:shd w:val="clear" w:color="090000" w:fill="FFFFFF"/>
          <w:lang w:val="en-US" w:eastAsia="zh-CN"/>
        </w:rPr>
      </w:pP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i w:val="0"/>
          <w:caps w:val="0"/>
          <w:color w:val="333333"/>
          <w:spacing w:val="-17"/>
          <w:sz w:val="44"/>
          <w:szCs w:val="44"/>
          <w:shd w:val="clear" w:color="090000" w:fill="FFFFFF"/>
          <w:lang w:val="en-US" w:eastAsia="zh-CN"/>
        </w:rPr>
      </w:pPr>
      <w:r>
        <w:rPr>
          <w:rFonts w:hint="eastAsia" w:ascii="方正小标宋简体" w:hAnsi="方正小标宋简体" w:eastAsia="方正小标宋简体" w:cs="方正小标宋简体"/>
          <w:b w:val="0"/>
          <w:bCs/>
          <w:i w:val="0"/>
          <w:caps w:val="0"/>
          <w:color w:val="333333"/>
          <w:spacing w:val="-17"/>
          <w:sz w:val="44"/>
          <w:szCs w:val="44"/>
          <w:shd w:val="clear" w:color="090000" w:fill="FFFFFF"/>
          <w:lang w:val="en-US" w:eastAsia="zh-CN"/>
        </w:rPr>
        <w:t>淄博市自然资源和规划局张店分局</w:t>
      </w: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color="090000" w:fill="FFFFFF"/>
          <w:lang w:eastAsia="zh-CN"/>
        </w:rPr>
      </w:pPr>
      <w:r>
        <w:rPr>
          <w:rFonts w:hint="eastAsia" w:ascii="方正小标宋简体" w:hAnsi="方正小标宋简体" w:eastAsia="方正小标宋简体" w:cs="方正小标宋简体"/>
          <w:b w:val="0"/>
          <w:bCs/>
          <w:i w:val="0"/>
          <w:caps w:val="0"/>
          <w:color w:val="333333"/>
          <w:spacing w:val="-17"/>
          <w:sz w:val="44"/>
          <w:szCs w:val="44"/>
          <w:shd w:val="clear" w:color="090000" w:fill="FFFFFF"/>
          <w:lang w:val="en-US" w:eastAsia="zh-CN"/>
        </w:rPr>
        <w:t>2023年</w:t>
      </w:r>
      <w:r>
        <w:rPr>
          <w:rFonts w:hint="eastAsia" w:ascii="方正小标宋简体" w:hAnsi="方正小标宋简体" w:eastAsia="方正小标宋简体" w:cs="方正小标宋简体"/>
          <w:b w:val="0"/>
          <w:bCs/>
          <w:i w:val="0"/>
          <w:caps w:val="0"/>
          <w:color w:val="333333"/>
          <w:spacing w:val="-17"/>
          <w:sz w:val="44"/>
          <w:szCs w:val="44"/>
          <w:shd w:val="clear" w:color="090000" w:fill="FFFFFF"/>
        </w:rPr>
        <w:t>政府信息公开工作</w:t>
      </w:r>
      <w:r>
        <w:rPr>
          <w:rFonts w:hint="eastAsia" w:ascii="方正小标宋简体" w:hAnsi="方正小标宋简体" w:eastAsia="方正小标宋简体" w:cs="方正小标宋简体"/>
          <w:b w:val="0"/>
          <w:bCs/>
          <w:i w:val="0"/>
          <w:caps w:val="0"/>
          <w:color w:val="333333"/>
          <w:spacing w:val="0"/>
          <w:sz w:val="44"/>
          <w:szCs w:val="44"/>
          <w:shd w:val="clear" w:color="090000" w:fill="FFFFFF"/>
        </w:rPr>
        <w:t>年度报告</w:t>
      </w: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right="0"/>
        <w:jc w:val="both"/>
        <w:textAlignment w:val="auto"/>
        <w:outlineLvl w:val="9"/>
        <w:rPr>
          <w:rFonts w:hint="eastAsia" w:ascii="Times New Roman" w:hAnsi="Times New Roman" w:eastAsia="宋体" w:cs="宋体"/>
          <w:i w:val="0"/>
          <w:caps w:val="0"/>
          <w:color w:val="333333"/>
          <w:spacing w:val="0"/>
          <w:sz w:val="24"/>
          <w:szCs w:val="24"/>
        </w:rPr>
      </w:pP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right="0" w:firstLine="640" w:firstLineChars="200"/>
        <w:jc w:val="left"/>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本年度报告中所列数据的统计期限自2023年1月1日起，至2023年12月31日止。如对报告内容有疑问，请与淄博市自然资源和规划局张店分局联系（地址：淄博市张店区新村西路152号；邮编：255030；电话：0533-2150021；电子邮箱：zdgtfj@163.com）。</w:t>
      </w: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leftChars="0" w:right="0" w:firstLine="640" w:firstLineChars="200"/>
        <w:jc w:val="both"/>
        <w:textAlignment w:val="auto"/>
        <w:outlineLvl w:val="9"/>
        <w:rPr>
          <w:rFonts w:hint="eastAsia" w:ascii="Times New Roman" w:hAnsi="Times New Roman" w:eastAsia="黑体" w:cs="黑体"/>
          <w:b w:val="0"/>
          <w:bCs/>
          <w:i w:val="0"/>
          <w:caps w:val="0"/>
          <w:color w:val="333333"/>
          <w:spacing w:val="0"/>
          <w:sz w:val="32"/>
          <w:szCs w:val="32"/>
        </w:rPr>
      </w:pPr>
      <w:r>
        <w:rPr>
          <w:rFonts w:hint="eastAsia" w:ascii="Times New Roman" w:hAnsi="Times New Roman" w:eastAsia="黑体" w:cs="黑体"/>
          <w:b w:val="0"/>
          <w:bCs/>
          <w:i w:val="0"/>
          <w:caps w:val="0"/>
          <w:color w:val="333333"/>
          <w:spacing w:val="0"/>
          <w:sz w:val="32"/>
          <w:szCs w:val="32"/>
          <w:shd w:val="clear" w:color="090000" w:fill="FFFFFF"/>
        </w:rPr>
        <w:t>一、总体情况</w:t>
      </w:r>
    </w:p>
    <w:p>
      <w:pPr>
        <w:widowControl w:val="0"/>
        <w:wordWrap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淄博市自然资源和规划局张店分局严格贯彻落实《中华人民共和国政府信息公开条例》，按照淄博市张店区人民政府办公室《关于印发2023年张店区政务公开工作方案的通知》，结合自然资源管理实际，坚持公开为常态、不公开为例外，加大公开力度，拓宽公开渠道，积极回应社会关切，全面推进政府信息公开工作，有力保障了人民群众的知情权、参与权和监督权。</w:t>
      </w:r>
    </w:p>
    <w:p>
      <w:pPr>
        <w:widowControl w:val="0"/>
        <w:wordWrap w:val="0"/>
        <w:adjustRightInd/>
        <w:snapToGrid/>
        <w:spacing w:line="560" w:lineRule="exact"/>
        <w:ind w:firstLine="640" w:firstLineChars="200"/>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（一）主动公开方面</w:t>
      </w:r>
    </w:p>
    <w:p>
      <w:pPr>
        <w:widowControl w:val="0"/>
        <w:wordWrap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2023年，我局坚持以“以公开为常态，不公开为例外”原则，主动公开本单位政府信息，通过淄博市自然资源和规划局张店分局网站主动公开信息数128条。</w:t>
      </w:r>
    </w:p>
    <w:p>
      <w:pPr>
        <w:widowControl w:val="0"/>
        <w:wordWrap w:val="0"/>
        <w:adjustRightInd/>
        <w:snapToGrid/>
        <w:spacing w:line="560" w:lineRule="exact"/>
        <w:ind w:firstLine="640" w:firstLineChars="200"/>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（二）依申请公开工作方面</w:t>
      </w:r>
    </w:p>
    <w:p>
      <w:pPr>
        <w:widowControl w:val="0"/>
        <w:wordWrap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排专人负责依申请公开的接收、登记、转办、审核、答复和归档工作，健全完善依申请公开工作规范，进一步加强办公室与业务科室的协调配合，对依申请公开工作进行了分工细化，明确工作责任，进一步提高了依申请公开的办理质量。2023年，我局共收到受理政府信息公开申请49件，同期增长81.48%，涉及的主要内容为土地征收、规划许可信息，均在法定时限内及时答复。</w:t>
      </w:r>
    </w:p>
    <w:p>
      <w:pPr>
        <w:widowControl w:val="0"/>
        <w:wordWrap w:val="0"/>
        <w:adjustRightInd/>
        <w:snapToGrid/>
        <w:spacing w:line="560" w:lineRule="exact"/>
        <w:ind w:firstLine="640" w:firstLineChars="200"/>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（三）政府信息管理方面</w:t>
      </w:r>
    </w:p>
    <w:p>
      <w:pPr>
        <w:widowControl w:val="0"/>
        <w:wordWrap w:val="0"/>
        <w:adjustRightInd/>
        <w:snapToGrid/>
        <w:spacing w:line="560" w:lineRule="exact"/>
        <w:ind w:firstLine="640" w:firstLineChars="200"/>
        <w:textAlignment w:val="auto"/>
        <w:outlineLvl w:val="9"/>
        <w:rPr>
          <w:rFonts w:hint="eastAsia" w:ascii="楷体_GB2312" w:hAnsi="楷体_GB2312" w:eastAsia="楷体_GB2312" w:cs="楷体_GB2312"/>
          <w:sz w:val="32"/>
          <w:szCs w:val="32"/>
          <w:lang w:val="en-US" w:eastAsia="zh-CN"/>
        </w:rPr>
      </w:pPr>
      <w:r>
        <w:rPr>
          <w:rFonts w:hint="eastAsia" w:ascii="仿宋_GB2312" w:hAnsi="仿宋_GB2312" w:eastAsia="仿宋_GB2312" w:cs="仿宋_GB2312"/>
          <w:sz w:val="32"/>
          <w:szCs w:val="32"/>
          <w:lang w:val="en-US" w:eastAsia="zh-CN"/>
        </w:rPr>
        <w:t>一是加强政府信息公开发布审查。严格落实信息公开制度，工作中严格执行公文公开属性源头认定和政府信息公开保密审查制度，确保政府信息公开工作有序推进。二是全面推进政府信息常态化、标准化公开。全面梳理主动公</w:t>
      </w:r>
      <w:bookmarkStart w:id="10" w:name="_GoBack"/>
      <w:bookmarkEnd w:id="10"/>
      <w:r>
        <w:rPr>
          <w:rFonts w:hint="eastAsia" w:ascii="仿宋_GB2312" w:hAnsi="仿宋_GB2312" w:eastAsia="仿宋_GB2312" w:cs="仿宋_GB2312"/>
          <w:sz w:val="32"/>
          <w:szCs w:val="32"/>
          <w:lang w:val="en-US" w:eastAsia="zh-CN"/>
        </w:rPr>
        <w:t>开信息，编制并进一步完善《</w:t>
      </w:r>
      <w:r>
        <w:rPr>
          <w:rFonts w:hint="eastAsia" w:ascii="Times New Roman" w:hAnsi="Times New Roman" w:eastAsia="仿宋_GB2312" w:cs="仿宋_GB2312"/>
          <w:sz w:val="32"/>
          <w:szCs w:val="32"/>
          <w:lang w:val="en-US" w:eastAsia="zh-CN"/>
        </w:rPr>
        <w:t>淄</w:t>
      </w:r>
      <w:r>
        <w:rPr>
          <w:rFonts w:hint="eastAsia" w:ascii="仿宋_GB2312" w:hAnsi="仿宋_GB2312" w:eastAsia="仿宋_GB2312" w:cs="仿宋_GB2312"/>
          <w:sz w:val="32"/>
          <w:szCs w:val="32"/>
          <w:lang w:val="en-US" w:eastAsia="zh-CN"/>
        </w:rPr>
        <w:t>博市自然资源和规划局张店分局政府信息主动公开基本目录》。同时，对政务公开工作任务进行梳理和整合，制定了《淄博市自然资源和规划局张店分局政务公开工作任务台账》，更加明确了责任科室和时限，细化了各项工作措施。</w:t>
      </w:r>
    </w:p>
    <w:p>
      <w:pPr>
        <w:widowControl w:val="0"/>
        <w:wordWrap w:val="0"/>
        <w:adjustRightInd/>
        <w:snapToGrid/>
        <w:spacing w:line="560" w:lineRule="exact"/>
        <w:ind w:firstLine="640" w:firstLineChars="200"/>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（四）平台建设方面</w:t>
      </w:r>
    </w:p>
    <w:p>
      <w:pPr>
        <w:widowControl w:val="0"/>
        <w:wordWrap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充分发挥政府门户网站第一平台作用，不断完善网站政府信息公开平台建设，建立健全网络安全工作责任制，加强网站平台网络安全防范能力，及时更新业务动态，规划信息、征地信息等栏目内容。加强网络媒体公开，我局定期向市局报送工作信息，共计20余条，利用市自然资源和规划局微信公众号，扩大民众对自然资源和规划工作的知晓率。</w:t>
      </w:r>
    </w:p>
    <w:p>
      <w:pPr>
        <w:widowControl w:val="0"/>
        <w:wordWrap w:val="0"/>
        <w:adjustRightInd/>
        <w:snapToGrid/>
        <w:spacing w:line="560" w:lineRule="exact"/>
        <w:ind w:firstLine="640" w:firstLineChars="200"/>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（五）监督保障方面</w:t>
      </w:r>
    </w:p>
    <w:p>
      <w:pPr>
        <w:widowControl w:val="0"/>
        <w:wordWrap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加强组织领导。建立健全政府信息公开机制，及时根据人员工作变动，调整、明确政务公开、政府信息公开相关人员职责，加强指导督促办理，提高政务公开管理水平。二是完善修订相关制度。修订《淄博市自然资源和规划局张店分局政府信息公开指南》和《淄博市自然资源和规划局张店分局政府信息公开制度》，建立信息公开督办机制，明确救济渠道的机关名称、地址、时限等信息，严格按照法定时限进行答复，杜绝政府信息公开申请拒收、不予答复等情况。三是开展自查评估。认真开展政务公开问题排查整改工作，从公开渠道、主动公开、依申请公开、解读回应、政府信息公开平台建设等多个方面全面自查自纠，及时整改信息发布不及时等各类问题，不断增强政务公开工作质量，同时加强政务公开培训，参加市局和区政府组织的集中培训，确保全局政府信息公开工作依法依规。</w:t>
      </w: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420"/>
        <w:jc w:val="both"/>
        <w:textAlignment w:val="auto"/>
        <w:outlineLvl w:val="9"/>
        <w:rPr>
          <w:rFonts w:hint="eastAsia" w:ascii="Times New Roman" w:hAnsi="Times New Roman" w:eastAsia="黑体" w:cs="黑体"/>
          <w:b w:val="0"/>
          <w:bCs/>
          <w:i w:val="0"/>
          <w:caps w:val="0"/>
          <w:color w:val="333333"/>
          <w:spacing w:val="0"/>
          <w:sz w:val="32"/>
          <w:szCs w:val="32"/>
        </w:rPr>
      </w:pPr>
      <w:r>
        <w:rPr>
          <w:rFonts w:hint="eastAsia" w:ascii="Times New Roman" w:hAnsi="Times New Roman" w:eastAsia="黑体" w:cs="黑体"/>
          <w:b w:val="0"/>
          <w:bCs/>
          <w:i w:val="0"/>
          <w:caps w:val="0"/>
          <w:color w:val="333333"/>
          <w:spacing w:val="0"/>
          <w:sz w:val="32"/>
          <w:szCs w:val="32"/>
          <w:shd w:val="clear" w:color="090000" w:fill="FFFFFF"/>
          <w:lang w:val="en-US" w:eastAsia="zh-CN"/>
        </w:rPr>
        <w:t xml:space="preserve"> </w:t>
      </w:r>
      <w:r>
        <w:rPr>
          <w:rFonts w:hint="eastAsia" w:ascii="Times New Roman" w:hAnsi="Times New Roman" w:eastAsia="黑体" w:cs="黑体"/>
          <w:b w:val="0"/>
          <w:bCs/>
          <w:i w:val="0"/>
          <w:caps w:val="0"/>
          <w:color w:val="333333"/>
          <w:spacing w:val="0"/>
          <w:sz w:val="32"/>
          <w:szCs w:val="32"/>
          <w:shd w:val="clear" w:color="090000" w:fill="FFFFFF"/>
        </w:rPr>
        <w:t>二、主动公开政府信息情况</w:t>
      </w:r>
    </w:p>
    <w:tbl>
      <w:tblPr>
        <w:tblStyle w:val="7"/>
        <w:tblW w:w="882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06"/>
        <w:gridCol w:w="2206"/>
        <w:gridCol w:w="2206"/>
        <w:gridCol w:w="2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wordWrap w:val="0"/>
              <w:adjustRightInd/>
              <w:snapToGrid/>
              <w:spacing w:line="560" w:lineRule="exact"/>
              <w:jc w:val="center"/>
              <w:textAlignment w:val="auto"/>
              <w:outlineLvl w:val="9"/>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2206" w:type="dxa"/>
            <w:tcBorders>
              <w:top w:val="nil"/>
              <w:left w:val="nil"/>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本年制发件数</w:t>
            </w:r>
          </w:p>
        </w:tc>
        <w:tc>
          <w:tcPr>
            <w:tcW w:w="2206" w:type="dxa"/>
            <w:tcBorders>
              <w:top w:val="nil"/>
              <w:left w:val="nil"/>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本年废止件数</w:t>
            </w:r>
          </w:p>
        </w:tc>
        <w:tc>
          <w:tcPr>
            <w:tcW w:w="2206" w:type="dxa"/>
            <w:tcBorders>
              <w:top w:val="nil"/>
              <w:left w:val="nil"/>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规章</w:t>
            </w:r>
          </w:p>
        </w:tc>
        <w:tc>
          <w:tcPr>
            <w:tcW w:w="2206" w:type="dxa"/>
            <w:tcBorders>
              <w:top w:val="nil"/>
              <w:left w:val="nil"/>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hint="eastAsia" w:ascii="Times New Roman" w:hAnsi="Times New Roman" w:eastAsia="仿宋_GB2312" w:cs="宋体"/>
                <w:color w:val="auto"/>
                <w:kern w:val="0"/>
                <w:szCs w:val="21"/>
                <w:lang w:eastAsia="zh-CN"/>
              </w:rPr>
            </w:pPr>
            <w:r>
              <w:rPr>
                <w:rFonts w:hint="eastAsia" w:ascii="Times New Roman" w:hAnsi="Times New Roman"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color w:val="auto"/>
                <w:kern w:val="0"/>
                <w:szCs w:val="21"/>
                <w:lang w:val="en-US"/>
              </w:rPr>
            </w:pPr>
            <w:r>
              <w:rPr>
                <w:rFonts w:hint="eastAsia" w:ascii="Times New Roman" w:hAnsi="Times New Roman"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Calibri"/>
                <w:color w:val="auto"/>
                <w:kern w:val="0"/>
                <w:szCs w:val="21"/>
              </w:rPr>
            </w:pPr>
            <w:r>
              <w:rPr>
                <w:rFonts w:hint="eastAsia" w:ascii="Times New Roman" w:hAnsi="Times New Roman" w:eastAsia="仿宋_GB2312" w:cs="宋体"/>
                <w:color w:val="auto"/>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highlight w:val="none"/>
              </w:rPr>
              <w:t>行政规范性文件</w:t>
            </w:r>
          </w:p>
        </w:tc>
        <w:tc>
          <w:tcPr>
            <w:tcW w:w="2206" w:type="dxa"/>
            <w:tcBorders>
              <w:top w:val="nil"/>
              <w:left w:val="nil"/>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hint="eastAsia" w:ascii="Times New Roman" w:hAnsi="Times New Roman" w:eastAsia="仿宋_GB2312" w:cs="宋体"/>
                <w:color w:val="auto"/>
                <w:kern w:val="0"/>
                <w:szCs w:val="21"/>
                <w:lang w:eastAsia="zh-CN"/>
              </w:rPr>
            </w:pPr>
            <w:r>
              <w:rPr>
                <w:rFonts w:hint="eastAsia" w:ascii="Times New Roman" w:hAnsi="Times New Roman"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hint="default" w:ascii="Times New Roman" w:hAnsi="Times New Roman" w:eastAsia="仿宋_GB2312" w:cs="宋体"/>
                <w:color w:val="auto"/>
                <w:kern w:val="0"/>
                <w:szCs w:val="21"/>
                <w:lang w:val="en-US" w:eastAsia="zh-CN"/>
              </w:rPr>
            </w:pPr>
            <w:r>
              <w:rPr>
                <w:rFonts w:hint="eastAsia" w:ascii="Times New Roman" w:hAnsi="Times New Roman"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hint="eastAsia" w:ascii="Times New Roman" w:hAnsi="Times New Roman" w:eastAsia="仿宋_GB2312" w:cs="宋体"/>
                <w:color w:val="auto"/>
                <w:kern w:val="0"/>
                <w:szCs w:val="21"/>
                <w:lang w:eastAsia="zh-CN"/>
              </w:rPr>
            </w:pPr>
            <w:r>
              <w:rPr>
                <w:rFonts w:hint="eastAsia" w:ascii="Times New Roman" w:hAnsi="Times New Roman" w:eastAsia="仿宋_GB2312" w:cs="宋体"/>
                <w:color w:val="auto"/>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wordWrap w:val="0"/>
              <w:adjustRightInd/>
              <w:snapToGrid/>
              <w:spacing w:line="560" w:lineRule="exact"/>
              <w:jc w:val="center"/>
              <w:textAlignment w:val="auto"/>
              <w:outlineLvl w:val="9"/>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highlight w:val="none"/>
              </w:rPr>
              <w:t>行政许可</w:t>
            </w:r>
          </w:p>
        </w:tc>
        <w:tc>
          <w:tcPr>
            <w:tcW w:w="6618" w:type="dxa"/>
            <w:gridSpan w:val="3"/>
            <w:tcBorders>
              <w:top w:val="single" w:color="auto" w:sz="8" w:space="0"/>
              <w:left w:val="nil"/>
              <w:bottom w:val="single" w:color="auto" w:sz="8" w:space="0"/>
              <w:right w:val="single" w:color="000000" w:sz="8" w:space="0"/>
            </w:tcBorders>
            <w:vAlign w:val="center"/>
          </w:tcPr>
          <w:p>
            <w:pPr>
              <w:widowControl/>
              <w:wordWrap w:val="0"/>
              <w:adjustRightInd/>
              <w:snapToGrid/>
              <w:spacing w:line="560" w:lineRule="exact"/>
              <w:jc w:val="center"/>
              <w:textAlignment w:val="auto"/>
              <w:outlineLvl w:val="9"/>
              <w:rPr>
                <w:rFonts w:hint="eastAsia" w:ascii="Times New Roman" w:hAnsi="Times New Roman" w:eastAsia="仿宋_GB2312" w:cs="Calibri"/>
                <w:color w:val="000000"/>
                <w:kern w:val="0"/>
                <w:szCs w:val="21"/>
                <w:lang w:val="en-US" w:eastAsia="zh-CN"/>
              </w:rPr>
            </w:pPr>
            <w:r>
              <w:rPr>
                <w:rFonts w:hint="eastAsia" w:ascii="Times New Roman" w:hAnsi="Times New Roman" w:eastAsia="仿宋_GB2312" w:cs="Calibri"/>
                <w:color w:val="auto"/>
                <w:kern w:val="0"/>
                <w:szCs w:val="21"/>
                <w:lang w:val="en-US" w:eastAsia="zh-CN"/>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wordWrap w:val="0"/>
              <w:adjustRightInd/>
              <w:snapToGrid/>
              <w:spacing w:line="560" w:lineRule="exact"/>
              <w:jc w:val="center"/>
              <w:textAlignment w:val="auto"/>
              <w:outlineLvl w:val="9"/>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color w:val="000000"/>
                <w:kern w:val="0"/>
                <w:szCs w:val="21"/>
                <w:highlight w:val="none"/>
              </w:rPr>
            </w:pPr>
            <w:r>
              <w:rPr>
                <w:rFonts w:hint="eastAsia" w:ascii="Times New Roman" w:hAnsi="Times New Roman" w:eastAsia="仿宋_GB2312" w:cs="宋体"/>
                <w:color w:val="000000"/>
                <w:kern w:val="0"/>
                <w:szCs w:val="21"/>
                <w:highlight w:val="none"/>
              </w:rPr>
              <w:t>行政处罚</w:t>
            </w:r>
          </w:p>
        </w:tc>
        <w:tc>
          <w:tcPr>
            <w:tcW w:w="6618" w:type="dxa"/>
            <w:gridSpan w:val="3"/>
            <w:tcBorders>
              <w:top w:val="single" w:color="auto" w:sz="8" w:space="0"/>
              <w:left w:val="nil"/>
              <w:bottom w:val="single" w:color="auto" w:sz="8" w:space="0"/>
              <w:right w:val="single" w:color="000000" w:sz="8" w:space="0"/>
            </w:tcBorders>
            <w:vAlign w:val="center"/>
          </w:tcPr>
          <w:p>
            <w:pPr>
              <w:widowControl/>
              <w:wordWrap w:val="0"/>
              <w:adjustRightInd/>
              <w:snapToGrid/>
              <w:spacing w:line="560" w:lineRule="exact"/>
              <w:jc w:val="center"/>
              <w:textAlignment w:val="auto"/>
              <w:outlineLvl w:val="9"/>
              <w:rPr>
                <w:rFonts w:hint="eastAsia" w:ascii="Times New Roman" w:hAnsi="Times New Roman" w:eastAsia="仿宋_GB2312" w:cs="Calibri"/>
                <w:color w:val="auto"/>
                <w:kern w:val="0"/>
                <w:szCs w:val="21"/>
                <w:lang w:eastAsia="zh-CN"/>
              </w:rPr>
            </w:pPr>
            <w:r>
              <w:rPr>
                <w:rFonts w:hint="eastAsia" w:ascii="Times New Roman" w:hAnsi="Times New Roman" w:eastAsia="仿宋_GB2312" w:cs="Calibri"/>
                <w:color w:val="auto"/>
                <w:kern w:val="0"/>
                <w:szCs w:val="21"/>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color w:val="000000"/>
                <w:kern w:val="0"/>
                <w:szCs w:val="21"/>
                <w:highlight w:val="none"/>
              </w:rPr>
            </w:pPr>
            <w:r>
              <w:rPr>
                <w:rFonts w:hint="eastAsia" w:ascii="Times New Roman" w:hAnsi="Times New Roman" w:eastAsia="仿宋_GB2312" w:cs="宋体"/>
                <w:color w:val="000000"/>
                <w:kern w:val="0"/>
                <w:szCs w:val="21"/>
                <w:highlight w:val="none"/>
              </w:rPr>
              <w:t>行政强制</w:t>
            </w:r>
          </w:p>
        </w:tc>
        <w:tc>
          <w:tcPr>
            <w:tcW w:w="6618" w:type="dxa"/>
            <w:gridSpan w:val="3"/>
            <w:tcBorders>
              <w:top w:val="single" w:color="auto" w:sz="8" w:space="0"/>
              <w:left w:val="nil"/>
              <w:bottom w:val="single" w:color="auto" w:sz="8" w:space="0"/>
              <w:right w:val="single" w:color="000000" w:sz="8" w:space="0"/>
            </w:tcBorders>
            <w:vAlign w:val="center"/>
          </w:tcPr>
          <w:p>
            <w:pPr>
              <w:widowControl/>
              <w:wordWrap w:val="0"/>
              <w:adjustRightInd/>
              <w:snapToGrid/>
              <w:spacing w:line="560" w:lineRule="exact"/>
              <w:jc w:val="center"/>
              <w:textAlignment w:val="auto"/>
              <w:outlineLvl w:val="9"/>
              <w:rPr>
                <w:rFonts w:hint="eastAsia" w:ascii="Times New Roman" w:hAnsi="Times New Roman" w:eastAsia="仿宋_GB2312" w:cs="Calibri"/>
                <w:color w:val="auto"/>
                <w:kern w:val="0"/>
                <w:szCs w:val="21"/>
                <w:lang w:eastAsia="zh-CN"/>
              </w:rPr>
            </w:pPr>
            <w:r>
              <w:rPr>
                <w:rFonts w:hint="eastAsia" w:ascii="Times New Roman" w:hAnsi="Times New Roman" w:eastAsia="仿宋_GB2312" w:cs="Calibri"/>
                <w:color w:val="auto"/>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wordWrap w:val="0"/>
              <w:adjustRightInd/>
              <w:snapToGrid/>
              <w:spacing w:line="560" w:lineRule="exact"/>
              <w:jc w:val="center"/>
              <w:textAlignment w:val="auto"/>
              <w:outlineLvl w:val="9"/>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vAlign w:val="center"/>
          </w:tcPr>
          <w:p>
            <w:pPr>
              <w:widowControl/>
              <w:wordWrap w:val="0"/>
              <w:adjustRightInd/>
              <w:snapToGrid/>
              <w:spacing w:line="560" w:lineRule="exact"/>
              <w:jc w:val="center"/>
              <w:textAlignment w:val="auto"/>
              <w:outlineLvl w:val="9"/>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行政事业性收费</w:t>
            </w:r>
          </w:p>
        </w:tc>
        <w:tc>
          <w:tcPr>
            <w:tcW w:w="6618" w:type="dxa"/>
            <w:gridSpan w:val="3"/>
            <w:tcBorders>
              <w:top w:val="single" w:color="auto" w:sz="8" w:space="0"/>
              <w:left w:val="nil"/>
              <w:bottom w:val="single" w:color="auto" w:sz="8" w:space="0"/>
              <w:right w:val="single" w:color="000000" w:sz="8" w:space="0"/>
            </w:tcBorders>
            <w:vAlign w:val="center"/>
          </w:tcPr>
          <w:p>
            <w:pPr>
              <w:widowControl/>
              <w:wordWrap w:val="0"/>
              <w:adjustRightInd/>
              <w:snapToGrid/>
              <w:spacing w:line="560" w:lineRule="exact"/>
              <w:jc w:val="center"/>
              <w:textAlignment w:val="auto"/>
              <w:outlineLvl w:val="9"/>
              <w:rPr>
                <w:rFonts w:hint="eastAsia" w:ascii="Times New Roman" w:hAnsi="Times New Roman" w:eastAsia="仿宋_GB2312" w:cs="Calibri"/>
                <w:color w:val="000000"/>
                <w:kern w:val="0"/>
                <w:szCs w:val="21"/>
                <w:lang w:eastAsia="zh-CN"/>
              </w:rPr>
            </w:pPr>
            <w:r>
              <w:rPr>
                <w:rFonts w:hint="eastAsia" w:ascii="Times New Roman" w:hAnsi="Times New Roman" w:eastAsia="仿宋_GB2312" w:cs="Calibri"/>
                <w:color w:val="auto"/>
                <w:kern w:val="0"/>
                <w:szCs w:val="21"/>
                <w:lang w:val="en-US" w:eastAsia="zh-CN"/>
              </w:rPr>
              <w:t>0</w:t>
            </w:r>
          </w:p>
        </w:tc>
      </w:tr>
    </w:tbl>
    <w:p>
      <w:pPr>
        <w:widowControl w:val="0"/>
        <w:wordWrap w:val="0"/>
        <w:adjustRightInd/>
        <w:snapToGrid/>
        <w:spacing w:line="560" w:lineRule="exact"/>
        <w:ind w:left="0" w:leftChars="0" w:right="0" w:firstLine="640" w:firstLineChars="200"/>
        <w:jc w:val="both"/>
        <w:textAlignment w:val="auto"/>
        <w:outlineLvl w:val="9"/>
        <w:rPr>
          <w:rFonts w:hint="eastAsia" w:ascii="Times New Roman" w:hAnsi="Times New Roman" w:eastAsia="黑体" w:cs="黑体"/>
          <w:b w:val="0"/>
          <w:bCs/>
          <w:i w:val="0"/>
          <w:caps w:val="0"/>
          <w:color w:val="333333"/>
          <w:spacing w:val="0"/>
          <w:kern w:val="0"/>
          <w:sz w:val="32"/>
          <w:szCs w:val="32"/>
          <w:shd w:val="clear" w:color="0A0000" w:fill="FFFFFF"/>
          <w:lang w:val="en-US" w:eastAsia="zh-CN"/>
        </w:rPr>
      </w:pPr>
      <w:r>
        <w:rPr>
          <w:rFonts w:hint="eastAsia" w:ascii="Times New Roman" w:hAnsi="Times New Roman" w:eastAsia="黑体" w:cs="黑体"/>
          <w:b w:val="0"/>
          <w:bCs/>
          <w:i w:val="0"/>
          <w:caps w:val="0"/>
          <w:color w:val="333333"/>
          <w:spacing w:val="0"/>
          <w:kern w:val="0"/>
          <w:sz w:val="32"/>
          <w:szCs w:val="32"/>
          <w:shd w:val="clear" w:color="0A0000" w:fill="FFFFFF"/>
          <w:lang w:val="en-US" w:eastAsia="zh-CN"/>
        </w:rPr>
        <w:t>三、收到和处理政府信息公开申请情况</w:t>
      </w:r>
    </w:p>
    <w:tbl>
      <w:tblPr>
        <w:tblStyle w:val="7"/>
        <w:tblW w:w="954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16"/>
        <w:gridCol w:w="1701"/>
        <w:gridCol w:w="2976"/>
        <w:gridCol w:w="747"/>
        <w:gridCol w:w="5"/>
        <w:gridCol w:w="535"/>
        <w:gridCol w:w="5"/>
        <w:gridCol w:w="535"/>
        <w:gridCol w:w="720"/>
        <w:gridCol w:w="675"/>
        <w:gridCol w:w="525"/>
        <w:gridCol w:w="1"/>
        <w:gridCol w:w="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13" w:hRule="atLeast"/>
          <w:jc w:val="center"/>
        </w:trPr>
        <w:tc>
          <w:tcPr>
            <w:tcW w:w="5093" w:type="dxa"/>
            <w:gridSpan w:val="3"/>
            <w:vMerge w:val="restart"/>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楷体_GB2312"/>
                <w:kern w:val="0"/>
                <w:szCs w:val="21"/>
              </w:rPr>
            </w:pPr>
            <w:r>
              <w:rPr>
                <w:rFonts w:hint="eastAsia" w:ascii="Times New Roman" w:hAnsi="Times New Roman" w:eastAsia="楷体_GB2312"/>
                <w:kern w:val="0"/>
                <w:szCs w:val="21"/>
              </w:rPr>
              <w:t>（本列数据的勾稽关系为：第一项加第二项之和，</w:t>
            </w:r>
          </w:p>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楷体_GB2312"/>
                <w:kern w:val="0"/>
                <w:szCs w:val="21"/>
              </w:rPr>
              <w:t>等于第三项加第四项之和）</w:t>
            </w:r>
          </w:p>
        </w:tc>
        <w:tc>
          <w:tcPr>
            <w:tcW w:w="4448" w:type="dxa"/>
            <w:gridSpan w:val="10"/>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szCs w:val="21"/>
              </w:rPr>
            </w:pPr>
            <w:r>
              <w:rPr>
                <w:rFonts w:hint="eastAsia" w:ascii="Times New Roman" w:hAnsi="Times New Roman"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25" w:hRule="atLeast"/>
          <w:jc w:val="center"/>
        </w:trPr>
        <w:tc>
          <w:tcPr>
            <w:tcW w:w="5093" w:type="dxa"/>
            <w:gridSpan w:val="3"/>
            <w:vMerge w:val="continue"/>
            <w:tcMar>
              <w:left w:w="108" w:type="dxa"/>
              <w:right w:w="108" w:type="dxa"/>
            </w:tcMar>
            <w:vAlign w:val="center"/>
          </w:tcPr>
          <w:p>
            <w:pPr>
              <w:wordWrap w:val="0"/>
              <w:adjustRightInd/>
              <w:snapToGrid/>
              <w:spacing w:line="560" w:lineRule="exact"/>
              <w:jc w:val="center"/>
              <w:textAlignment w:val="auto"/>
              <w:outlineLvl w:val="9"/>
              <w:rPr>
                <w:rFonts w:ascii="Times New Roman" w:hAnsi="Times New Roman" w:eastAsia="仿宋_GB2312"/>
                <w:szCs w:val="21"/>
              </w:rPr>
            </w:pPr>
          </w:p>
        </w:tc>
        <w:tc>
          <w:tcPr>
            <w:tcW w:w="747" w:type="dxa"/>
            <w:vMerge w:val="restart"/>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szCs w:val="21"/>
              </w:rPr>
            </w:pPr>
            <w:r>
              <w:rPr>
                <w:rFonts w:hint="eastAsia" w:ascii="Times New Roman" w:hAnsi="Times New Roman" w:eastAsia="黑体"/>
                <w:kern w:val="0"/>
                <w:szCs w:val="21"/>
              </w:rPr>
              <w:t>自然人</w:t>
            </w:r>
          </w:p>
        </w:tc>
        <w:tc>
          <w:tcPr>
            <w:tcW w:w="3000" w:type="dxa"/>
            <w:gridSpan w:val="7"/>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szCs w:val="21"/>
              </w:rPr>
            </w:pPr>
            <w:r>
              <w:rPr>
                <w:rFonts w:hint="eastAsia" w:ascii="Times New Roman" w:hAnsi="Times New Roman" w:eastAsia="黑体"/>
                <w:kern w:val="0"/>
                <w:szCs w:val="21"/>
              </w:rPr>
              <w:t>法人或其他组织</w:t>
            </w:r>
          </w:p>
        </w:tc>
        <w:tc>
          <w:tcPr>
            <w:tcW w:w="701" w:type="dxa"/>
            <w:gridSpan w:val="2"/>
            <w:vMerge w:val="restart"/>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szCs w:val="21"/>
              </w:rPr>
            </w:pPr>
            <w:r>
              <w:rPr>
                <w:rFonts w:hint="eastAsia" w:ascii="Times New Roman" w:hAnsi="Times New Roman"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22" w:hRule="atLeast"/>
          <w:jc w:val="center"/>
        </w:trPr>
        <w:tc>
          <w:tcPr>
            <w:tcW w:w="5093" w:type="dxa"/>
            <w:gridSpan w:val="3"/>
            <w:vMerge w:val="continue"/>
            <w:tcMar>
              <w:left w:w="108" w:type="dxa"/>
              <w:right w:w="108" w:type="dxa"/>
            </w:tcMar>
            <w:vAlign w:val="center"/>
          </w:tcPr>
          <w:p>
            <w:pPr>
              <w:wordWrap w:val="0"/>
              <w:adjustRightInd/>
              <w:snapToGrid/>
              <w:spacing w:line="560" w:lineRule="exact"/>
              <w:jc w:val="center"/>
              <w:textAlignment w:val="auto"/>
              <w:outlineLvl w:val="9"/>
              <w:rPr>
                <w:rFonts w:ascii="Times New Roman" w:hAnsi="Times New Roman" w:eastAsia="仿宋_GB2312"/>
                <w:szCs w:val="21"/>
              </w:rPr>
            </w:pPr>
          </w:p>
        </w:tc>
        <w:tc>
          <w:tcPr>
            <w:tcW w:w="747" w:type="dxa"/>
            <w:vMerge w:val="continue"/>
            <w:tcMar>
              <w:left w:w="108" w:type="dxa"/>
              <w:right w:w="108" w:type="dxa"/>
            </w:tcMar>
            <w:vAlign w:val="center"/>
          </w:tcPr>
          <w:p>
            <w:pPr>
              <w:wordWrap w:val="0"/>
              <w:adjustRightInd/>
              <w:snapToGrid/>
              <w:spacing w:line="560" w:lineRule="exact"/>
              <w:jc w:val="center"/>
              <w:textAlignment w:val="auto"/>
              <w:outlineLvl w:val="9"/>
              <w:rPr>
                <w:rFonts w:ascii="Times New Roman" w:hAnsi="Times New Roman" w:eastAsia="黑体"/>
                <w:szCs w:val="21"/>
              </w:rPr>
            </w:pPr>
          </w:p>
        </w:tc>
        <w:tc>
          <w:tcPr>
            <w:tcW w:w="540" w:type="dxa"/>
            <w:gridSpan w:val="2"/>
            <w:tcMar>
              <w:left w:w="108" w:type="dxa"/>
              <w:right w:w="108" w:type="dxa"/>
            </w:tcMar>
            <w:vAlign w:val="center"/>
          </w:tcPr>
          <w:p>
            <w:pPr>
              <w:widowControl/>
              <w:wordWrap w:val="0"/>
              <w:adjustRightInd/>
              <w:snapToGrid/>
              <w:spacing w:line="560" w:lineRule="exact"/>
              <w:ind w:left="-106" w:leftChars="-51" w:right="-107" w:rightChars="-51"/>
              <w:jc w:val="center"/>
              <w:textAlignment w:val="auto"/>
              <w:outlineLvl w:val="9"/>
              <w:rPr>
                <w:rFonts w:ascii="Times New Roman" w:hAnsi="Times New Roman" w:eastAsia="黑体"/>
                <w:szCs w:val="21"/>
              </w:rPr>
            </w:pPr>
            <w:r>
              <w:rPr>
                <w:rFonts w:hint="eastAsia" w:ascii="Times New Roman" w:hAnsi="Times New Roman" w:eastAsia="黑体"/>
                <w:kern w:val="0"/>
                <w:szCs w:val="21"/>
              </w:rPr>
              <w:t>商业企业</w:t>
            </w:r>
          </w:p>
        </w:tc>
        <w:tc>
          <w:tcPr>
            <w:tcW w:w="540" w:type="dxa"/>
            <w:gridSpan w:val="2"/>
            <w:tcMar>
              <w:left w:w="108" w:type="dxa"/>
              <w:right w:w="108" w:type="dxa"/>
            </w:tcMar>
            <w:vAlign w:val="center"/>
          </w:tcPr>
          <w:p>
            <w:pPr>
              <w:widowControl/>
              <w:wordWrap w:val="0"/>
              <w:adjustRightInd/>
              <w:snapToGrid/>
              <w:spacing w:line="560" w:lineRule="exact"/>
              <w:ind w:left="-107" w:leftChars="-51" w:right="-107" w:rightChars="-51"/>
              <w:jc w:val="center"/>
              <w:textAlignment w:val="auto"/>
              <w:outlineLvl w:val="9"/>
              <w:rPr>
                <w:rFonts w:ascii="Times New Roman" w:hAnsi="Times New Roman" w:eastAsia="黑体"/>
                <w:szCs w:val="21"/>
              </w:rPr>
            </w:pPr>
            <w:r>
              <w:rPr>
                <w:rFonts w:hint="eastAsia" w:ascii="Times New Roman" w:hAnsi="Times New Roman" w:eastAsia="黑体"/>
                <w:kern w:val="0"/>
                <w:szCs w:val="21"/>
              </w:rPr>
              <w:t>科研机构</w:t>
            </w:r>
          </w:p>
        </w:tc>
        <w:tc>
          <w:tcPr>
            <w:tcW w:w="720" w:type="dxa"/>
            <w:tcMar>
              <w:left w:w="108" w:type="dxa"/>
              <w:right w:w="108" w:type="dxa"/>
            </w:tcMar>
            <w:vAlign w:val="center"/>
          </w:tcPr>
          <w:p>
            <w:pPr>
              <w:widowControl/>
              <w:wordWrap w:val="0"/>
              <w:adjustRightInd/>
              <w:snapToGrid/>
              <w:spacing w:line="560" w:lineRule="exact"/>
              <w:ind w:left="-107" w:leftChars="-51" w:right="-107" w:rightChars="-51"/>
              <w:jc w:val="center"/>
              <w:textAlignment w:val="auto"/>
              <w:outlineLvl w:val="9"/>
              <w:rPr>
                <w:rFonts w:ascii="Times New Roman" w:hAnsi="Times New Roman" w:eastAsia="黑体"/>
                <w:szCs w:val="21"/>
              </w:rPr>
            </w:pPr>
            <w:r>
              <w:rPr>
                <w:rFonts w:hint="eastAsia" w:ascii="Times New Roman" w:hAnsi="Times New Roman" w:eastAsia="黑体"/>
                <w:kern w:val="0"/>
                <w:szCs w:val="21"/>
              </w:rPr>
              <w:t>社会公益组织</w:t>
            </w:r>
          </w:p>
        </w:tc>
        <w:tc>
          <w:tcPr>
            <w:tcW w:w="675" w:type="dxa"/>
            <w:tcMar>
              <w:left w:w="108" w:type="dxa"/>
              <w:right w:w="108" w:type="dxa"/>
            </w:tcMar>
            <w:vAlign w:val="center"/>
          </w:tcPr>
          <w:p>
            <w:pPr>
              <w:widowControl/>
              <w:wordWrap w:val="0"/>
              <w:adjustRightInd/>
              <w:snapToGrid/>
              <w:spacing w:line="560" w:lineRule="exact"/>
              <w:ind w:left="-106" w:leftChars="-51" w:right="-107" w:rightChars="-51"/>
              <w:jc w:val="center"/>
              <w:textAlignment w:val="auto"/>
              <w:outlineLvl w:val="9"/>
              <w:rPr>
                <w:rFonts w:ascii="Times New Roman" w:hAnsi="Times New Roman" w:eastAsia="黑体"/>
                <w:szCs w:val="21"/>
              </w:rPr>
            </w:pPr>
            <w:r>
              <w:rPr>
                <w:rFonts w:hint="eastAsia" w:ascii="Times New Roman" w:hAnsi="Times New Roman" w:eastAsia="黑体"/>
                <w:kern w:val="0"/>
                <w:szCs w:val="21"/>
              </w:rPr>
              <w:t>法律服务机构</w:t>
            </w:r>
          </w:p>
        </w:tc>
        <w:tc>
          <w:tcPr>
            <w:tcW w:w="525" w:type="dxa"/>
            <w:tcMar>
              <w:left w:w="108" w:type="dxa"/>
              <w:right w:w="108" w:type="dxa"/>
            </w:tcMar>
            <w:vAlign w:val="center"/>
          </w:tcPr>
          <w:p>
            <w:pPr>
              <w:widowControl/>
              <w:wordWrap w:val="0"/>
              <w:adjustRightInd/>
              <w:snapToGrid/>
              <w:spacing w:line="560" w:lineRule="exact"/>
              <w:ind w:left="-63" w:leftChars="-30" w:right="-134" w:rightChars="-64"/>
              <w:jc w:val="center"/>
              <w:textAlignment w:val="auto"/>
              <w:outlineLvl w:val="9"/>
              <w:rPr>
                <w:rFonts w:ascii="Times New Roman" w:hAnsi="Times New Roman" w:eastAsia="黑体"/>
                <w:szCs w:val="21"/>
              </w:rPr>
            </w:pPr>
            <w:r>
              <w:rPr>
                <w:rFonts w:hint="eastAsia" w:ascii="Times New Roman" w:hAnsi="Times New Roman" w:eastAsia="黑体"/>
                <w:kern w:val="0"/>
                <w:szCs w:val="21"/>
              </w:rPr>
              <w:t>其他</w:t>
            </w:r>
          </w:p>
        </w:tc>
        <w:tc>
          <w:tcPr>
            <w:tcW w:w="701" w:type="dxa"/>
            <w:gridSpan w:val="2"/>
            <w:vMerge w:val="continue"/>
            <w:tcMar>
              <w:left w:w="108" w:type="dxa"/>
              <w:right w:w="108" w:type="dxa"/>
            </w:tcMar>
            <w:vAlign w:val="center"/>
          </w:tcPr>
          <w:p>
            <w:pPr>
              <w:wordWrap w:val="0"/>
              <w:adjustRightInd/>
              <w:snapToGrid/>
              <w:spacing w:line="560" w:lineRule="exact"/>
              <w:jc w:val="center"/>
              <w:textAlignment w:val="auto"/>
              <w:outlineLvl w:val="9"/>
              <w:rPr>
                <w:rFonts w:ascii="Times New Roman"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5093" w:type="dxa"/>
            <w:gridSpan w:val="3"/>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szCs w:val="21"/>
              </w:rPr>
            </w:pPr>
            <w:r>
              <w:rPr>
                <w:rFonts w:hint="eastAsia" w:ascii="Times New Roman" w:hAnsi="Times New Roman" w:eastAsia="黑体"/>
                <w:kern w:val="0"/>
                <w:szCs w:val="21"/>
              </w:rPr>
              <w:t>一、</w:t>
            </w:r>
            <w:bookmarkStart w:id="0" w:name="_Hlk66973412"/>
            <w:r>
              <w:rPr>
                <w:rFonts w:hint="eastAsia" w:ascii="Times New Roman" w:hAnsi="Times New Roman" w:eastAsia="黑体"/>
                <w:kern w:val="0"/>
                <w:szCs w:val="21"/>
              </w:rPr>
              <w:t>本年新收政府信息公开申请数量</w:t>
            </w:r>
            <w:bookmarkEnd w:id="0"/>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49</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5093" w:type="dxa"/>
            <w:gridSpan w:val="3"/>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szCs w:val="21"/>
              </w:rPr>
            </w:pPr>
            <w:r>
              <w:rPr>
                <w:rFonts w:hint="eastAsia" w:ascii="Times New Roman" w:hAnsi="Times New Roman" w:eastAsia="黑体"/>
                <w:kern w:val="0"/>
                <w:szCs w:val="21"/>
              </w:rPr>
              <w:t>二、上年结转政府信息公开申请数量</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restart"/>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szCs w:val="21"/>
              </w:rPr>
            </w:pPr>
            <w:r>
              <w:rPr>
                <w:rFonts w:hint="eastAsia" w:ascii="Times New Roman" w:hAnsi="Times New Roman" w:eastAsia="黑体"/>
                <w:kern w:val="0"/>
                <w:szCs w:val="21"/>
              </w:rPr>
              <w:t>三、本年度办理结果</w:t>
            </w:r>
          </w:p>
        </w:tc>
        <w:tc>
          <w:tcPr>
            <w:tcW w:w="4677" w:type="dxa"/>
            <w:gridSpan w:val="2"/>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szCs w:val="21"/>
              </w:rPr>
            </w:pPr>
            <w:r>
              <w:rPr>
                <w:rFonts w:hint="eastAsia" w:ascii="Times New Roman" w:hAnsi="Times New Roman" w:eastAsia="黑体"/>
                <w:kern w:val="0"/>
                <w:szCs w:val="21"/>
              </w:rPr>
              <w:t>（一）予以公开</w:t>
            </w:r>
          </w:p>
        </w:tc>
        <w:tc>
          <w:tcPr>
            <w:tcW w:w="752"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49</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default"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35"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26"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00"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4677" w:type="dxa"/>
            <w:gridSpan w:val="2"/>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szCs w:val="21"/>
              </w:rPr>
            </w:pPr>
            <w:r>
              <w:rPr>
                <w:rFonts w:hint="eastAsia" w:ascii="Times New Roman" w:hAnsi="Times New Roman" w:eastAsia="黑体"/>
                <w:kern w:val="0"/>
                <w:szCs w:val="21"/>
              </w:rPr>
              <w:t>（二）部分公开（</w:t>
            </w:r>
            <w:bookmarkStart w:id="1" w:name="_Hlk66973981"/>
            <w:r>
              <w:rPr>
                <w:rFonts w:hint="eastAsia" w:ascii="Times New Roman" w:hAnsi="Times New Roman" w:eastAsia="黑体"/>
                <w:kern w:val="0"/>
                <w:szCs w:val="21"/>
              </w:rPr>
              <w:t>区分处理的，只计这一情形，不计其他情形</w:t>
            </w:r>
            <w:bookmarkEnd w:id="1"/>
            <w:r>
              <w:rPr>
                <w:rFonts w:hint="eastAsia" w:ascii="Times New Roman" w:hAnsi="Times New Roman" w:eastAsia="黑体"/>
                <w:kern w:val="0"/>
                <w:szCs w:val="21"/>
              </w:rPr>
              <w:t>）</w:t>
            </w:r>
          </w:p>
        </w:tc>
        <w:tc>
          <w:tcPr>
            <w:tcW w:w="752"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default"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35"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26"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00"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restart"/>
            <w:tcMar>
              <w:left w:w="108" w:type="dxa"/>
              <w:right w:w="108" w:type="dxa"/>
            </w:tcMar>
            <w:vAlign w:val="center"/>
          </w:tcPr>
          <w:p>
            <w:pPr>
              <w:widowControl/>
              <w:wordWrap w:val="0"/>
              <w:adjustRightInd/>
              <w:snapToGrid/>
              <w:spacing w:line="560" w:lineRule="exact"/>
              <w:ind w:left="-107" w:leftChars="-51"/>
              <w:textAlignment w:val="auto"/>
              <w:outlineLvl w:val="9"/>
              <w:rPr>
                <w:rFonts w:ascii="Times New Roman" w:hAnsi="Times New Roman" w:eastAsia="黑体"/>
                <w:szCs w:val="21"/>
              </w:rPr>
            </w:pPr>
            <w:r>
              <w:rPr>
                <w:rFonts w:hint="eastAsia" w:ascii="Times New Roman" w:hAnsi="Times New Roman" w:eastAsia="黑体"/>
                <w:kern w:val="0"/>
                <w:szCs w:val="21"/>
              </w:rPr>
              <w:t>（三）不予公开</w:t>
            </w: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1.属于国家秘密</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2.</w:t>
            </w:r>
            <w:bookmarkStart w:id="2" w:name="_Hlk66974104"/>
            <w:r>
              <w:rPr>
                <w:rFonts w:hint="eastAsia" w:ascii="Times New Roman" w:hAnsi="Times New Roman" w:eastAsia="仿宋_GB2312"/>
                <w:kern w:val="0"/>
                <w:szCs w:val="21"/>
              </w:rPr>
              <w:t>其他法律行政法规禁止公开</w:t>
            </w:r>
            <w:bookmarkEnd w:id="2"/>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3.危及“三安全一稳定”</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4.</w:t>
            </w:r>
            <w:bookmarkStart w:id="3" w:name="_Hlk66974290"/>
            <w:r>
              <w:rPr>
                <w:rFonts w:hint="eastAsia" w:ascii="Times New Roman" w:hAnsi="Times New Roman" w:eastAsia="仿宋_GB2312"/>
                <w:kern w:val="0"/>
                <w:szCs w:val="21"/>
              </w:rPr>
              <w:t>保护第三方合法权益</w:t>
            </w:r>
            <w:bookmarkEnd w:id="3"/>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5.属于三类内部事务信息</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6.</w:t>
            </w:r>
            <w:bookmarkStart w:id="4" w:name="_Hlk66974555"/>
            <w:r>
              <w:rPr>
                <w:rFonts w:hint="eastAsia" w:ascii="Times New Roman" w:hAnsi="Times New Roman" w:eastAsia="仿宋_GB2312"/>
                <w:kern w:val="0"/>
                <w:szCs w:val="21"/>
              </w:rPr>
              <w:t>属于四类过程性信息</w:t>
            </w:r>
            <w:bookmarkEnd w:id="4"/>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7.属于行政执法案卷</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8.</w:t>
            </w:r>
            <w:bookmarkStart w:id="5" w:name="_Hlk66975211"/>
            <w:r>
              <w:rPr>
                <w:rFonts w:hint="eastAsia" w:ascii="Times New Roman" w:hAnsi="Times New Roman" w:eastAsia="仿宋_GB2312"/>
                <w:kern w:val="0"/>
                <w:szCs w:val="21"/>
              </w:rPr>
              <w:t>属于行政查询事项</w:t>
            </w:r>
            <w:bookmarkEnd w:id="5"/>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restart"/>
            <w:tcMar>
              <w:left w:w="108" w:type="dxa"/>
              <w:right w:w="108" w:type="dxa"/>
            </w:tcMar>
            <w:vAlign w:val="center"/>
          </w:tcPr>
          <w:p>
            <w:pPr>
              <w:widowControl/>
              <w:wordWrap w:val="0"/>
              <w:adjustRightInd/>
              <w:snapToGrid/>
              <w:spacing w:line="560" w:lineRule="exact"/>
              <w:ind w:left="-107" w:leftChars="-51"/>
              <w:textAlignment w:val="auto"/>
              <w:outlineLvl w:val="9"/>
              <w:rPr>
                <w:rFonts w:ascii="Times New Roman" w:hAnsi="Times New Roman" w:eastAsia="黑体"/>
                <w:szCs w:val="21"/>
              </w:rPr>
            </w:pPr>
            <w:r>
              <w:rPr>
                <w:rFonts w:hint="eastAsia" w:ascii="Times New Roman" w:hAnsi="Times New Roman" w:eastAsia="黑体"/>
                <w:kern w:val="0"/>
                <w:szCs w:val="21"/>
              </w:rPr>
              <w:t>（四）无法提供</w:t>
            </w: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1.本机关不掌握相关政府信息</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ind w:left="-107" w:leftChars="-51"/>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2.</w:t>
            </w:r>
            <w:bookmarkStart w:id="6" w:name="_Hlk66975392"/>
            <w:r>
              <w:rPr>
                <w:rFonts w:hint="eastAsia" w:ascii="Times New Roman" w:hAnsi="Times New Roman" w:eastAsia="仿宋_GB2312"/>
                <w:kern w:val="0"/>
                <w:szCs w:val="21"/>
              </w:rPr>
              <w:t>没有现成信息需要另行制作</w:t>
            </w:r>
            <w:bookmarkEnd w:id="6"/>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ind w:left="-107" w:leftChars="-51"/>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3.</w:t>
            </w:r>
            <w:bookmarkStart w:id="7" w:name="_Hlk66975466"/>
            <w:r>
              <w:rPr>
                <w:rFonts w:hint="eastAsia" w:ascii="Times New Roman" w:hAnsi="Times New Roman" w:eastAsia="仿宋_GB2312"/>
                <w:kern w:val="0"/>
                <w:szCs w:val="21"/>
              </w:rPr>
              <w:t>补正后申请内容仍不明确</w:t>
            </w:r>
            <w:bookmarkEnd w:id="7"/>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restart"/>
            <w:tcMar>
              <w:left w:w="108" w:type="dxa"/>
              <w:right w:w="108" w:type="dxa"/>
            </w:tcMar>
            <w:vAlign w:val="center"/>
          </w:tcPr>
          <w:p>
            <w:pPr>
              <w:widowControl/>
              <w:wordWrap w:val="0"/>
              <w:adjustRightInd/>
              <w:snapToGrid/>
              <w:spacing w:line="560" w:lineRule="exact"/>
              <w:ind w:left="-107" w:leftChars="-51"/>
              <w:textAlignment w:val="auto"/>
              <w:outlineLvl w:val="9"/>
              <w:rPr>
                <w:rFonts w:ascii="Times New Roman" w:hAnsi="Times New Roman" w:eastAsia="黑体"/>
                <w:szCs w:val="21"/>
              </w:rPr>
            </w:pPr>
            <w:r>
              <w:rPr>
                <w:rFonts w:hint="eastAsia" w:ascii="Times New Roman" w:hAnsi="Times New Roman" w:eastAsia="黑体"/>
                <w:kern w:val="0"/>
                <w:szCs w:val="21"/>
              </w:rPr>
              <w:t>（五）不予处理</w:t>
            </w: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1.</w:t>
            </w:r>
            <w:bookmarkStart w:id="8" w:name="_Hlk66975537"/>
            <w:r>
              <w:rPr>
                <w:rFonts w:hint="eastAsia" w:ascii="Times New Roman" w:hAnsi="Times New Roman" w:eastAsia="仿宋_GB2312"/>
                <w:kern w:val="0"/>
                <w:szCs w:val="21"/>
              </w:rPr>
              <w:t>信访举报投诉类申请</w:t>
            </w:r>
            <w:bookmarkEnd w:id="8"/>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2.重复申请</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szCs w:val="21"/>
              </w:rPr>
            </w:pPr>
            <w:r>
              <w:rPr>
                <w:rFonts w:hint="eastAsia" w:ascii="Times New Roman" w:hAnsi="Times New Roman" w:eastAsia="仿宋_GB2312"/>
                <w:kern w:val="0"/>
                <w:szCs w:val="21"/>
              </w:rPr>
              <w:t>3.要求提供公开出版物</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97" w:hRule="exact"/>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szCs w:val="21"/>
              </w:rPr>
            </w:pPr>
            <w:r>
              <w:rPr>
                <w:rFonts w:hint="eastAsia" w:ascii="Times New Roman" w:hAnsi="Times New Roman" w:eastAsia="仿宋_GB2312"/>
                <w:kern w:val="0"/>
                <w:szCs w:val="21"/>
              </w:rPr>
              <w:t>4.无正当理由大量反复申请</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2976" w:type="dxa"/>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kern w:val="0"/>
                <w:szCs w:val="21"/>
              </w:rPr>
              <w:t>5.要求行政机关确认或重新</w:t>
            </w:r>
          </w:p>
          <w:p>
            <w:pPr>
              <w:widowControl/>
              <w:wordWrap w:val="0"/>
              <w:adjustRightInd/>
              <w:snapToGrid/>
              <w:spacing w:line="560" w:lineRule="exact"/>
              <w:ind w:firstLine="210" w:firstLineChars="100"/>
              <w:textAlignment w:val="auto"/>
              <w:outlineLvl w:val="9"/>
              <w:rPr>
                <w:rFonts w:ascii="Times New Roman" w:hAnsi="Times New Roman" w:eastAsia="仿宋_GB2312"/>
                <w:szCs w:val="21"/>
              </w:rPr>
            </w:pPr>
            <w:r>
              <w:rPr>
                <w:rFonts w:hint="eastAsia" w:ascii="Times New Roman" w:hAnsi="Times New Roman" w:eastAsia="仿宋_GB2312"/>
                <w:kern w:val="0"/>
                <w:szCs w:val="21"/>
              </w:rPr>
              <w:t>出具已获取信息</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restart"/>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kern w:val="0"/>
                <w:szCs w:val="21"/>
              </w:rPr>
            </w:pPr>
            <w:r>
              <w:rPr>
                <w:rFonts w:hint="eastAsia" w:ascii="Times New Roman" w:hAnsi="Times New Roman" w:eastAsia="黑体"/>
                <w:kern w:val="0"/>
                <w:szCs w:val="21"/>
              </w:rPr>
              <w:t>（六）其他处理</w:t>
            </w:r>
          </w:p>
        </w:tc>
        <w:tc>
          <w:tcPr>
            <w:tcW w:w="2976" w:type="dxa"/>
            <w:vAlign w:val="center"/>
          </w:tcPr>
          <w:p>
            <w:pPr>
              <w:widowControl/>
              <w:wordWrap w:val="0"/>
              <w:adjustRightInd/>
              <w:snapToGrid/>
              <w:spacing w:line="560" w:lineRule="exact"/>
              <w:textAlignment w:val="auto"/>
              <w:outlineLvl w:val="9"/>
              <w:rPr>
                <w:rFonts w:ascii="Times New Roman" w:hAnsi="Times New Roman" w:eastAsia="仿宋_GB2312"/>
              </w:rPr>
            </w:pPr>
            <w:r>
              <w:rPr>
                <w:rFonts w:hint="eastAsia" w:ascii="Times New Roman" w:hAnsi="Times New Roman" w:eastAsia="仿宋_GB2312"/>
              </w:rPr>
              <w:t>1.申请人无正当理由逾期不补正、行政机关不再处理其政府信息公开申请</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kern w:val="0"/>
                <w:szCs w:val="21"/>
              </w:rPr>
            </w:pPr>
          </w:p>
        </w:tc>
        <w:tc>
          <w:tcPr>
            <w:tcW w:w="2976" w:type="dxa"/>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rPr>
              <w:t>2.申请人逾期未按收费通知要求缴纳费用、行政机关不再处理其政府信息公开申请</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1701" w:type="dxa"/>
            <w:vMerge w:val="continue"/>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kern w:val="0"/>
                <w:szCs w:val="21"/>
              </w:rPr>
            </w:pPr>
          </w:p>
        </w:tc>
        <w:tc>
          <w:tcPr>
            <w:tcW w:w="2976" w:type="dxa"/>
            <w:vAlign w:val="center"/>
          </w:tcPr>
          <w:p>
            <w:pPr>
              <w:widowControl/>
              <w:wordWrap w:val="0"/>
              <w:adjustRightInd/>
              <w:snapToGrid/>
              <w:spacing w:line="560" w:lineRule="exact"/>
              <w:textAlignment w:val="auto"/>
              <w:outlineLvl w:val="9"/>
              <w:rPr>
                <w:rFonts w:ascii="Times New Roman" w:hAnsi="Times New Roman" w:eastAsia="仿宋_GB2312"/>
                <w:kern w:val="0"/>
                <w:szCs w:val="21"/>
              </w:rPr>
            </w:pPr>
            <w:r>
              <w:rPr>
                <w:rFonts w:hint="eastAsia" w:ascii="Times New Roman" w:hAnsi="Times New Roman" w:eastAsia="仿宋_GB2312"/>
              </w:rPr>
              <w:t>3.其他</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lang w:val="en-US"/>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Cs w:val="21"/>
              </w:rPr>
            </w:pPr>
          </w:p>
        </w:tc>
        <w:tc>
          <w:tcPr>
            <w:tcW w:w="4677" w:type="dxa"/>
            <w:gridSpan w:val="2"/>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kern w:val="0"/>
                <w:szCs w:val="21"/>
              </w:rPr>
            </w:pPr>
            <w:r>
              <w:rPr>
                <w:rFonts w:hint="eastAsia" w:ascii="Times New Roman" w:hAnsi="Times New Roman" w:eastAsia="黑体"/>
                <w:kern w:val="0"/>
                <w:szCs w:val="21"/>
              </w:rPr>
              <w:t>（七）总计</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49</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lang w:val="en-US"/>
              </w:rPr>
            </w:pPr>
            <w:r>
              <w:rPr>
                <w:rFonts w:hint="eastAsia" w:ascii="Times New Roman" w:hAnsi="Times New Roman" w:eastAsia="仿宋_GB2312"/>
                <w:color w:val="auto"/>
                <w:szCs w:val="21"/>
                <w:lang w:val="en-US" w:eastAsia="zh-CN"/>
              </w:rPr>
              <w:t>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90" w:hRule="atLeast"/>
          <w:jc w:val="center"/>
        </w:trPr>
        <w:tc>
          <w:tcPr>
            <w:tcW w:w="5093" w:type="dxa"/>
            <w:gridSpan w:val="3"/>
            <w:tcMar>
              <w:left w:w="108" w:type="dxa"/>
              <w:right w:w="108" w:type="dxa"/>
            </w:tcMar>
            <w:vAlign w:val="center"/>
          </w:tcPr>
          <w:p>
            <w:pPr>
              <w:widowControl/>
              <w:wordWrap w:val="0"/>
              <w:adjustRightInd/>
              <w:snapToGrid/>
              <w:spacing w:line="560" w:lineRule="exact"/>
              <w:textAlignment w:val="auto"/>
              <w:outlineLvl w:val="9"/>
              <w:rPr>
                <w:rFonts w:ascii="Times New Roman" w:hAnsi="Times New Roman" w:eastAsia="黑体"/>
                <w:kern w:val="0"/>
                <w:szCs w:val="21"/>
              </w:rPr>
            </w:pPr>
            <w:r>
              <w:rPr>
                <w:rFonts w:hint="eastAsia" w:ascii="Times New Roman" w:hAnsi="Times New Roman" w:eastAsia="黑体"/>
                <w:kern w:val="0"/>
                <w:szCs w:val="21"/>
              </w:rPr>
              <w:t>四、结转下年度继续办理</w:t>
            </w:r>
          </w:p>
        </w:tc>
        <w:tc>
          <w:tcPr>
            <w:tcW w:w="747"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20"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67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25" w:type="dxa"/>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01" w:type="dxa"/>
            <w:gridSpan w:val="2"/>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仿宋_GB2312"/>
                <w:color w:val="auto"/>
                <w:szCs w:val="21"/>
                <w:lang w:val="en-US"/>
              </w:rPr>
            </w:pPr>
            <w:r>
              <w:rPr>
                <w:rFonts w:hint="eastAsia" w:ascii="Times New Roman" w:hAnsi="Times New Roman" w:eastAsia="仿宋_GB2312"/>
                <w:color w:val="auto"/>
                <w:szCs w:val="21"/>
                <w:lang w:val="en-US" w:eastAsia="zh-CN"/>
              </w:rPr>
              <w:t>0</w:t>
            </w:r>
          </w:p>
        </w:tc>
      </w:tr>
    </w:tbl>
    <w:p>
      <w:pPr>
        <w:widowControl w:val="0"/>
        <w:wordWrap w:val="0"/>
        <w:adjustRightInd/>
        <w:snapToGrid/>
        <w:spacing w:line="560" w:lineRule="exact"/>
        <w:ind w:left="0" w:leftChars="0" w:right="0" w:firstLine="640" w:firstLineChars="200"/>
        <w:jc w:val="both"/>
        <w:textAlignment w:val="auto"/>
        <w:outlineLvl w:val="9"/>
        <w:rPr>
          <w:rFonts w:ascii="Times New Roman" w:hAnsi="Times New Roman" w:eastAsia="仿宋_GB2312"/>
          <w:sz w:val="32"/>
          <w:szCs w:val="32"/>
          <w:highlight w:val="none"/>
        </w:rPr>
      </w:pPr>
      <w:r>
        <w:rPr>
          <w:rFonts w:hint="eastAsia" w:ascii="Times New Roman" w:hAnsi="Times New Roman" w:eastAsia="黑体" w:cs="黑体"/>
          <w:b w:val="0"/>
          <w:bCs/>
          <w:i w:val="0"/>
          <w:caps w:val="0"/>
          <w:color w:val="333333"/>
          <w:spacing w:val="0"/>
          <w:kern w:val="0"/>
          <w:sz w:val="32"/>
          <w:szCs w:val="32"/>
          <w:highlight w:val="none"/>
          <w:shd w:val="clear" w:color="0A0000" w:fill="FFFFFF"/>
          <w:lang w:val="en-US" w:eastAsia="zh-CN"/>
        </w:rPr>
        <w:t>四、政府信息公开行政复议、行政诉讼情况</w:t>
      </w:r>
    </w:p>
    <w:tbl>
      <w:tblPr>
        <w:tblStyle w:val="7"/>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rPr>
            </w:pPr>
            <w:r>
              <w:rPr>
                <w:rFonts w:ascii="Times New Roman" w:hAnsi="Times New Roman" w:eastAsia="黑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rPr>
            </w:pPr>
            <w:r>
              <w:rPr>
                <w:rFonts w:ascii="Times New Roman" w:hAnsi="Times New Roman" w:eastAsia="黑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149" w:leftChars="-71" w:right="-170" w:rightChars="-81"/>
              <w:jc w:val="center"/>
              <w:textAlignment w:val="auto"/>
              <w:outlineLvl w:val="9"/>
              <w:rPr>
                <w:rFonts w:ascii="Times New Roman" w:hAnsi="Times New Roman" w:eastAsia="黑体"/>
                <w:kern w:val="0"/>
                <w:sz w:val="20"/>
                <w:szCs w:val="20"/>
              </w:rPr>
            </w:pPr>
            <w:r>
              <w:rPr>
                <w:rFonts w:ascii="Times New Roman" w:hAnsi="Times New Roman" w:eastAsia="黑体"/>
                <w:kern w:val="0"/>
                <w:sz w:val="20"/>
                <w:szCs w:val="20"/>
              </w:rPr>
              <w:t>结果</w:t>
            </w:r>
          </w:p>
          <w:p>
            <w:pPr>
              <w:widowControl/>
              <w:wordWrap w:val="0"/>
              <w:adjustRightInd/>
              <w:snapToGrid/>
              <w:spacing w:line="560" w:lineRule="exact"/>
              <w:ind w:left="-149" w:leftChars="-71" w:right="-170" w:rightChars="-81"/>
              <w:jc w:val="center"/>
              <w:textAlignment w:val="auto"/>
              <w:outlineLvl w:val="9"/>
              <w:rPr>
                <w:rFonts w:ascii="Times New Roman" w:hAnsi="Times New Roman" w:eastAsia="黑体"/>
              </w:rPr>
            </w:pPr>
            <w:r>
              <w:rPr>
                <w:rFonts w:ascii="Times New Roman" w:hAnsi="Times New Roman" w:eastAsia="黑体"/>
                <w:kern w:val="0"/>
                <w:sz w:val="20"/>
                <w:szCs w:val="20"/>
              </w:rPr>
              <w:t>维持</w:t>
            </w:r>
          </w:p>
        </w:tc>
        <w:tc>
          <w:tcPr>
            <w:tcW w:w="604" w:type="dxa"/>
            <w:vMerge w:val="restart"/>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43" w:leftChars="-21" w:right="-132" w:rightChars="-63"/>
              <w:jc w:val="center"/>
              <w:textAlignment w:val="auto"/>
              <w:outlineLvl w:val="9"/>
              <w:rPr>
                <w:rFonts w:ascii="Times New Roman" w:hAnsi="Times New Roman" w:eastAsia="黑体"/>
              </w:rPr>
            </w:pPr>
            <w:r>
              <w:rPr>
                <w:rFonts w:ascii="Times New Roman" w:hAnsi="Times New Roman" w:eastAsia="黑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82" w:leftChars="-39" w:right="-97" w:rightChars="-46"/>
              <w:jc w:val="center"/>
              <w:textAlignment w:val="auto"/>
              <w:outlineLvl w:val="9"/>
              <w:rPr>
                <w:rFonts w:ascii="Times New Roman" w:hAnsi="Times New Roman" w:eastAsia="黑体"/>
              </w:rPr>
            </w:pPr>
            <w:r>
              <w:rPr>
                <w:rFonts w:ascii="Times New Roman" w:hAnsi="Times New Roman" w:eastAsia="黑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118" w:leftChars="-56" w:right="-118" w:rightChars="-56"/>
              <w:jc w:val="center"/>
              <w:textAlignment w:val="auto"/>
              <w:outlineLvl w:val="9"/>
              <w:rPr>
                <w:rFonts w:ascii="Times New Roman" w:hAnsi="Times New Roman" w:eastAsia="黑体"/>
                <w:kern w:val="0"/>
                <w:sz w:val="20"/>
                <w:szCs w:val="20"/>
              </w:rPr>
            </w:pPr>
            <w:r>
              <w:rPr>
                <w:rFonts w:ascii="Times New Roman" w:hAnsi="Times New Roman" w:eastAsia="黑体"/>
                <w:kern w:val="0"/>
                <w:sz w:val="20"/>
                <w:szCs w:val="20"/>
              </w:rPr>
              <w:t>尚未</w:t>
            </w:r>
          </w:p>
          <w:p>
            <w:pPr>
              <w:widowControl/>
              <w:wordWrap w:val="0"/>
              <w:adjustRightInd/>
              <w:snapToGrid/>
              <w:spacing w:line="560" w:lineRule="exact"/>
              <w:ind w:left="-118" w:leftChars="-56" w:right="-118" w:rightChars="-56"/>
              <w:jc w:val="center"/>
              <w:textAlignment w:val="auto"/>
              <w:outlineLvl w:val="9"/>
              <w:rPr>
                <w:rFonts w:ascii="Times New Roman" w:hAnsi="Times New Roman" w:eastAsia="黑体"/>
              </w:rPr>
            </w:pPr>
            <w:r>
              <w:rPr>
                <w:rFonts w:ascii="Times New Roman" w:hAnsi="Times New Roman" w:eastAsia="黑体"/>
                <w:kern w:val="0"/>
                <w:sz w:val="20"/>
                <w:szCs w:val="20"/>
              </w:rPr>
              <w:t>审结</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kern w:val="0"/>
                <w:sz w:val="20"/>
                <w:szCs w:val="20"/>
              </w:rPr>
            </w:pPr>
            <w:r>
              <w:rPr>
                <w:rFonts w:ascii="Times New Roman" w:hAnsi="Times New Roman" w:eastAsia="黑体"/>
                <w:kern w:val="0"/>
                <w:sz w:val="20"/>
                <w:szCs w:val="20"/>
              </w:rPr>
              <w:t>总</w:t>
            </w:r>
          </w:p>
          <w:p>
            <w:pPr>
              <w:widowControl/>
              <w:wordWrap w:val="0"/>
              <w:adjustRightInd/>
              <w:snapToGrid/>
              <w:spacing w:line="560" w:lineRule="exact"/>
              <w:jc w:val="center"/>
              <w:textAlignment w:val="auto"/>
              <w:outlineLvl w:val="9"/>
              <w:rPr>
                <w:rFonts w:ascii="Times New Roman" w:hAnsi="Times New Roman" w:eastAsia="黑体"/>
              </w:rPr>
            </w:pPr>
            <w:r>
              <w:rPr>
                <w:rFonts w:ascii="Times New Roman" w:hAnsi="Times New Roman" w:eastAsia="黑体"/>
                <w:kern w:val="0"/>
                <w:sz w:val="20"/>
                <w:szCs w:val="20"/>
              </w:rPr>
              <w:t>计</w:t>
            </w:r>
          </w:p>
        </w:tc>
        <w:tc>
          <w:tcPr>
            <w:tcW w:w="2970"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rPr>
            </w:pPr>
            <w:r>
              <w:rPr>
                <w:rFonts w:ascii="Times New Roman" w:hAnsi="Times New Roman" w:eastAsia="黑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rPr>
            </w:pPr>
            <w:bookmarkStart w:id="9" w:name="_Hlk67039688"/>
            <w:r>
              <w:rPr>
                <w:rFonts w:ascii="Times New Roman" w:hAnsi="Times New Roman" w:eastAsia="黑体"/>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 w:val="24"/>
              </w:rPr>
            </w:pPr>
          </w:p>
        </w:tc>
        <w:tc>
          <w:tcPr>
            <w:tcW w:w="604" w:type="dxa"/>
            <w:vMerge w:val="continue"/>
            <w:tcBorders>
              <w:top w:val="nil"/>
              <w:left w:val="nil"/>
              <w:bottom w:val="single" w:color="auto" w:sz="8" w:space="0"/>
              <w:right w:val="single" w:color="auto" w:sz="8" w:space="0"/>
            </w:tcBorders>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 w:val="24"/>
              </w:rPr>
            </w:pPr>
          </w:p>
        </w:tc>
        <w:tc>
          <w:tcPr>
            <w:tcW w:w="604"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 w:val="24"/>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pPr>
              <w:wordWrap w:val="0"/>
              <w:adjustRightInd/>
              <w:snapToGrid/>
              <w:spacing w:line="560" w:lineRule="exact"/>
              <w:textAlignment w:val="auto"/>
              <w:outlineLvl w:val="9"/>
              <w:rPr>
                <w:rFonts w:ascii="Times New Roman" w:hAnsi="Times New Roman" w:eastAsia="黑体"/>
                <w:sz w:val="24"/>
              </w:rPr>
            </w:pPr>
          </w:p>
        </w:tc>
        <w:tc>
          <w:tcPr>
            <w:tcW w:w="550"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105" w:leftChars="-50" w:right="-126" w:rightChars="-60"/>
              <w:jc w:val="center"/>
              <w:textAlignment w:val="auto"/>
              <w:outlineLvl w:val="9"/>
              <w:rPr>
                <w:rFonts w:ascii="Times New Roman" w:hAnsi="Times New Roman" w:eastAsia="黑体"/>
              </w:rPr>
            </w:pPr>
            <w:r>
              <w:rPr>
                <w:rFonts w:ascii="Times New Roman" w:hAnsi="Times New Roman" w:eastAsia="黑体"/>
                <w:kern w:val="0"/>
                <w:sz w:val="20"/>
                <w:szCs w:val="20"/>
              </w:rPr>
              <w:t>结果维持</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86" w:leftChars="-41" w:right="-88" w:rightChars="-42"/>
              <w:jc w:val="center"/>
              <w:textAlignment w:val="auto"/>
              <w:outlineLvl w:val="9"/>
              <w:rPr>
                <w:rFonts w:ascii="Times New Roman" w:hAnsi="Times New Roman" w:eastAsia="黑体"/>
              </w:rPr>
            </w:pPr>
            <w:r>
              <w:rPr>
                <w:rFonts w:ascii="Times New Roman" w:hAnsi="Times New Roman" w:eastAsia="黑体"/>
                <w:kern w:val="0"/>
                <w:sz w:val="20"/>
                <w:szCs w:val="20"/>
              </w:rPr>
              <w:t>结果纠正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126" w:leftChars="-60" w:right="-136" w:rightChars="-65"/>
              <w:jc w:val="center"/>
              <w:textAlignment w:val="auto"/>
              <w:outlineLvl w:val="9"/>
              <w:rPr>
                <w:rFonts w:ascii="Times New Roman" w:hAnsi="Times New Roman" w:eastAsia="黑体"/>
                <w:kern w:val="0"/>
                <w:sz w:val="20"/>
                <w:szCs w:val="20"/>
              </w:rPr>
            </w:pPr>
            <w:r>
              <w:rPr>
                <w:rFonts w:ascii="Times New Roman" w:hAnsi="Times New Roman" w:eastAsia="黑体"/>
                <w:kern w:val="0"/>
                <w:sz w:val="20"/>
                <w:szCs w:val="20"/>
              </w:rPr>
              <w:t>其他</w:t>
            </w:r>
          </w:p>
          <w:p>
            <w:pPr>
              <w:widowControl/>
              <w:wordWrap w:val="0"/>
              <w:adjustRightInd/>
              <w:snapToGrid/>
              <w:spacing w:line="560" w:lineRule="exact"/>
              <w:ind w:left="-126" w:leftChars="-60" w:right="-136" w:rightChars="-65"/>
              <w:jc w:val="center"/>
              <w:textAlignment w:val="auto"/>
              <w:outlineLvl w:val="9"/>
              <w:rPr>
                <w:rFonts w:ascii="Times New Roman" w:hAnsi="Times New Roman" w:eastAsia="黑体"/>
              </w:rPr>
            </w:pPr>
            <w:r>
              <w:rPr>
                <w:rFonts w:ascii="Times New Roman" w:hAnsi="Times New Roman" w:eastAsia="黑体"/>
                <w:kern w:val="0"/>
                <w:sz w:val="20"/>
                <w:szCs w:val="20"/>
              </w:rPr>
              <w:t>结果</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164" w:leftChars="-78" w:right="-153" w:rightChars="-73"/>
              <w:jc w:val="center"/>
              <w:textAlignment w:val="auto"/>
              <w:outlineLvl w:val="9"/>
              <w:rPr>
                <w:rFonts w:ascii="Times New Roman" w:hAnsi="Times New Roman" w:eastAsia="黑体"/>
                <w:kern w:val="0"/>
                <w:sz w:val="20"/>
                <w:szCs w:val="20"/>
              </w:rPr>
            </w:pPr>
            <w:r>
              <w:rPr>
                <w:rFonts w:ascii="Times New Roman" w:hAnsi="Times New Roman" w:eastAsia="黑体"/>
                <w:kern w:val="0"/>
                <w:sz w:val="20"/>
                <w:szCs w:val="20"/>
              </w:rPr>
              <w:t>尚未</w:t>
            </w:r>
          </w:p>
          <w:p>
            <w:pPr>
              <w:widowControl/>
              <w:wordWrap w:val="0"/>
              <w:adjustRightInd/>
              <w:snapToGrid/>
              <w:spacing w:line="560" w:lineRule="exact"/>
              <w:ind w:left="-164" w:leftChars="-78" w:right="-153" w:rightChars="-73"/>
              <w:jc w:val="center"/>
              <w:textAlignment w:val="auto"/>
              <w:outlineLvl w:val="9"/>
              <w:rPr>
                <w:rFonts w:ascii="Times New Roman" w:hAnsi="Times New Roman" w:eastAsia="黑体"/>
              </w:rPr>
            </w:pPr>
            <w:r>
              <w:rPr>
                <w:rFonts w:ascii="Times New Roman" w:hAnsi="Times New Roman" w:eastAsia="黑体"/>
                <w:kern w:val="0"/>
                <w:sz w:val="20"/>
                <w:szCs w:val="20"/>
              </w:rPr>
              <w:t>审结</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rPr>
            </w:pPr>
            <w:r>
              <w:rPr>
                <w:rFonts w:ascii="Times New Roman" w:hAnsi="Times New Roman" w:eastAsia="黑体"/>
                <w:kern w:val="0"/>
                <w:sz w:val="20"/>
                <w:szCs w:val="20"/>
              </w:rPr>
              <w:t>总计</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99" w:leftChars="-47" w:right="-78" w:rightChars="-37"/>
              <w:jc w:val="center"/>
              <w:textAlignment w:val="auto"/>
              <w:outlineLvl w:val="9"/>
              <w:rPr>
                <w:rFonts w:ascii="Times New Roman" w:hAnsi="Times New Roman" w:eastAsia="黑体"/>
              </w:rPr>
            </w:pPr>
            <w:r>
              <w:rPr>
                <w:rFonts w:ascii="Times New Roman" w:hAnsi="Times New Roman" w:eastAsia="黑体"/>
                <w:kern w:val="0"/>
                <w:sz w:val="20"/>
                <w:szCs w:val="20"/>
              </w:rPr>
              <w:t>结果维持</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136" w:leftChars="-65" w:right="-124" w:rightChars="-59"/>
              <w:jc w:val="center"/>
              <w:textAlignment w:val="auto"/>
              <w:outlineLvl w:val="9"/>
              <w:rPr>
                <w:rFonts w:ascii="Times New Roman" w:hAnsi="Times New Roman" w:eastAsia="黑体"/>
                <w:kern w:val="0"/>
                <w:sz w:val="20"/>
                <w:szCs w:val="20"/>
              </w:rPr>
            </w:pPr>
            <w:r>
              <w:rPr>
                <w:rFonts w:ascii="Times New Roman" w:hAnsi="Times New Roman" w:eastAsia="黑体"/>
                <w:kern w:val="0"/>
                <w:sz w:val="20"/>
                <w:szCs w:val="20"/>
              </w:rPr>
              <w:t>结果</w:t>
            </w:r>
          </w:p>
          <w:p>
            <w:pPr>
              <w:widowControl/>
              <w:wordWrap w:val="0"/>
              <w:adjustRightInd/>
              <w:snapToGrid/>
              <w:spacing w:line="560" w:lineRule="exact"/>
              <w:ind w:left="-136" w:leftChars="-65" w:right="-124" w:rightChars="-59"/>
              <w:jc w:val="center"/>
              <w:textAlignment w:val="auto"/>
              <w:outlineLvl w:val="9"/>
              <w:rPr>
                <w:rFonts w:ascii="Times New Roman" w:hAnsi="Times New Roman" w:eastAsia="黑体"/>
              </w:rPr>
            </w:pPr>
            <w:r>
              <w:rPr>
                <w:rFonts w:ascii="Times New Roman" w:hAnsi="Times New Roman" w:eastAsia="黑体"/>
                <w:kern w:val="0"/>
                <w:sz w:val="20"/>
                <w:szCs w:val="20"/>
              </w:rPr>
              <w:t>纠正</w:t>
            </w:r>
          </w:p>
        </w:tc>
        <w:tc>
          <w:tcPr>
            <w:tcW w:w="605"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173" w:leftChars="-83" w:right="-134" w:rightChars="-64"/>
              <w:jc w:val="center"/>
              <w:textAlignment w:val="auto"/>
              <w:outlineLvl w:val="9"/>
              <w:rPr>
                <w:rFonts w:ascii="Times New Roman" w:hAnsi="Times New Roman" w:eastAsia="黑体"/>
                <w:kern w:val="0"/>
                <w:sz w:val="20"/>
                <w:szCs w:val="20"/>
              </w:rPr>
            </w:pPr>
            <w:r>
              <w:rPr>
                <w:rFonts w:ascii="Times New Roman" w:hAnsi="Times New Roman" w:eastAsia="黑体"/>
                <w:kern w:val="0"/>
                <w:sz w:val="20"/>
                <w:szCs w:val="20"/>
              </w:rPr>
              <w:t>其他</w:t>
            </w:r>
          </w:p>
          <w:p>
            <w:pPr>
              <w:widowControl/>
              <w:wordWrap w:val="0"/>
              <w:adjustRightInd/>
              <w:snapToGrid/>
              <w:spacing w:line="560" w:lineRule="exact"/>
              <w:ind w:left="-173" w:leftChars="-83" w:right="-134" w:rightChars="-64"/>
              <w:jc w:val="center"/>
              <w:textAlignment w:val="auto"/>
              <w:outlineLvl w:val="9"/>
              <w:rPr>
                <w:rFonts w:ascii="Times New Roman" w:hAnsi="Times New Roman" w:eastAsia="黑体"/>
              </w:rPr>
            </w:pPr>
            <w:r>
              <w:rPr>
                <w:rFonts w:ascii="Times New Roman" w:hAnsi="Times New Roman" w:eastAsia="黑体"/>
                <w:kern w:val="0"/>
                <w:sz w:val="20"/>
                <w:szCs w:val="20"/>
              </w:rPr>
              <w:t>结果</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ind w:left="-67" w:leftChars="-33" w:right="-105" w:rightChars="-50" w:hanging="2" w:hangingChars="1"/>
              <w:jc w:val="center"/>
              <w:textAlignment w:val="auto"/>
              <w:outlineLvl w:val="9"/>
              <w:rPr>
                <w:rFonts w:ascii="Times New Roman" w:hAnsi="Times New Roman" w:eastAsia="黑体"/>
              </w:rPr>
            </w:pPr>
            <w:r>
              <w:rPr>
                <w:rFonts w:ascii="Times New Roman" w:hAnsi="Times New Roman" w:eastAsia="黑体"/>
                <w:kern w:val="0"/>
                <w:sz w:val="20"/>
                <w:szCs w:val="20"/>
              </w:rPr>
              <w:t>尚未审结</w:t>
            </w:r>
          </w:p>
        </w:tc>
        <w:tc>
          <w:tcPr>
            <w:tcW w:w="606" w:type="dxa"/>
            <w:tcBorders>
              <w:top w:val="single" w:color="auto" w:sz="8" w:space="0"/>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ascii="Times New Roman" w:hAnsi="Times New Roman" w:eastAsia="黑体"/>
              </w:rPr>
            </w:pPr>
            <w:r>
              <w:rPr>
                <w:rFonts w:ascii="Times New Roman" w:hAnsi="Times New Roman" w:eastAsia="黑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1</w:t>
            </w:r>
          </w:p>
        </w:tc>
        <w:tc>
          <w:tcPr>
            <w:tcW w:w="658"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1</w:t>
            </w:r>
          </w:p>
        </w:tc>
        <w:tc>
          <w:tcPr>
            <w:tcW w:w="550"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textAlignment w:val="auto"/>
              <w:outlineLvl w:val="9"/>
              <w:rPr>
                <w:rFonts w:hint="eastAsia" w:ascii="Times New Roman" w:hAnsi="Times New Roman" w:eastAsia="宋体"/>
                <w:lang w:val="en-US" w:eastAsia="zh-CN"/>
              </w:rPr>
            </w:pPr>
            <w:r>
              <w:rPr>
                <w:rFonts w:hint="eastAsia" w:ascii="Times New Roman" w:hAnsi="Times New Roman"/>
                <w:lang w:val="en-US" w:eastAsia="zh-CN"/>
              </w:rPr>
              <w:t>1</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tcMar>
              <w:left w:w="108" w:type="dxa"/>
              <w:right w:w="108" w:type="dxa"/>
            </w:tcMar>
            <w:vAlign w:val="center"/>
          </w:tcPr>
          <w:p>
            <w:pPr>
              <w:widowControl/>
              <w:wordWrap w:val="0"/>
              <w:adjustRightInd/>
              <w:snapToGrid/>
              <w:spacing w:line="560" w:lineRule="exact"/>
              <w:jc w:val="center"/>
              <w:textAlignment w:val="auto"/>
              <w:outlineLvl w:val="9"/>
              <w:rPr>
                <w:rFonts w:hint="eastAsia" w:ascii="Times New Roman" w:hAnsi="Times New Roman" w:eastAsia="宋体"/>
                <w:lang w:val="en-US" w:eastAsia="zh-CN"/>
              </w:rPr>
            </w:pPr>
            <w:r>
              <w:rPr>
                <w:rFonts w:hint="eastAsia" w:ascii="Times New Roman" w:hAnsi="Times New Roman"/>
                <w:lang w:val="en-US" w:eastAsia="zh-CN"/>
              </w:rPr>
              <w:t>1</w:t>
            </w:r>
          </w:p>
        </w:tc>
      </w:tr>
    </w:tbl>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leftChars="0" w:right="0" w:firstLine="640" w:firstLineChars="200"/>
        <w:jc w:val="both"/>
        <w:textAlignment w:val="auto"/>
        <w:outlineLvl w:val="9"/>
        <w:rPr>
          <w:rFonts w:hint="eastAsia" w:ascii="Times New Roman" w:hAnsi="Times New Roman" w:eastAsia="黑体" w:cs="黑体"/>
          <w:b w:val="0"/>
          <w:bCs/>
          <w:i w:val="0"/>
          <w:caps w:val="0"/>
          <w:color w:val="333333"/>
          <w:spacing w:val="0"/>
          <w:kern w:val="0"/>
          <w:sz w:val="32"/>
          <w:szCs w:val="32"/>
          <w:shd w:val="clear" w:color="0A0000" w:fill="FFFFFF"/>
          <w:lang w:val="en-US" w:eastAsia="zh-CN"/>
        </w:rPr>
      </w:pPr>
      <w:r>
        <w:rPr>
          <w:rFonts w:hint="eastAsia" w:ascii="Times New Roman" w:hAnsi="Times New Roman" w:eastAsia="黑体" w:cs="黑体"/>
          <w:b w:val="0"/>
          <w:bCs/>
          <w:i w:val="0"/>
          <w:caps w:val="0"/>
          <w:color w:val="333333"/>
          <w:spacing w:val="0"/>
          <w:kern w:val="0"/>
          <w:sz w:val="32"/>
          <w:szCs w:val="32"/>
          <w:shd w:val="clear" w:color="0A0000" w:fill="FFFFFF"/>
          <w:lang w:val="en-US" w:eastAsia="zh-CN"/>
        </w:rPr>
        <w:t>五、存在的主要问题及改进情况</w:t>
      </w: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420"/>
        <w:jc w:val="both"/>
        <w:textAlignment w:val="auto"/>
        <w:outlineLvl w:val="9"/>
        <w:rPr>
          <w:rFonts w:hint="eastAsia" w:ascii="楷体_GB2312" w:hAnsi="楷体_GB2312" w:eastAsia="楷体_GB2312" w:cs="楷体_GB2312"/>
          <w:i w:val="0"/>
          <w:caps w:val="0"/>
          <w:color w:val="auto"/>
          <w:spacing w:val="0"/>
          <w:kern w:val="2"/>
          <w:sz w:val="32"/>
          <w:szCs w:val="32"/>
          <w:shd w:val="clear" w:color="080000" w:fill="FFFFFF"/>
          <w:lang w:val="en-US" w:eastAsia="zh-CN" w:bidi="ar-SA"/>
        </w:rPr>
      </w:pPr>
      <w:r>
        <w:rPr>
          <w:rFonts w:hint="eastAsia" w:ascii="楷体_GB2312" w:hAnsi="楷体_GB2312" w:eastAsia="楷体_GB2312" w:cs="楷体_GB2312"/>
          <w:i w:val="0"/>
          <w:caps w:val="0"/>
          <w:color w:val="auto"/>
          <w:spacing w:val="0"/>
          <w:kern w:val="2"/>
          <w:sz w:val="32"/>
          <w:szCs w:val="32"/>
          <w:shd w:val="clear" w:color="080000" w:fill="FFFFFF"/>
          <w:lang w:val="en-US" w:eastAsia="zh-CN" w:bidi="ar-SA"/>
        </w:rPr>
        <w:t>（一）存在的主要问题</w:t>
      </w: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420"/>
        <w:jc w:val="both"/>
        <w:textAlignment w:val="auto"/>
        <w:outlineLvl w:val="9"/>
        <w:rPr>
          <w:rFonts w:hint="eastAsia" w:ascii="仿宋_GB2312" w:eastAsia="仿宋_GB2312" w:cs="仿宋_GB2312"/>
          <w:sz w:val="32"/>
          <w:szCs w:val="32"/>
          <w:shd w:val="clear" w:color="auto" w:fill="FFFFFF"/>
        </w:rPr>
      </w:pPr>
      <w:r>
        <w:rPr>
          <w:rFonts w:hint="eastAsia" w:ascii="仿宋_GB2312" w:eastAsia="仿宋_GB2312" w:cs="仿宋_GB2312"/>
          <w:sz w:val="32"/>
          <w:szCs w:val="32"/>
          <w:shd w:val="clear" w:color="auto" w:fill="FFFFFF"/>
        </w:rPr>
        <w:t>一是政务公开的信息供给与市民群众的新期待新需求在一定程度上还不相匹配。二是全方位解读、回应、互动的格局还没有完全形成，</w:t>
      </w:r>
      <w:r>
        <w:rPr>
          <w:rFonts w:hint="eastAsia" w:ascii="仿宋_GB2312" w:eastAsia="仿宋_GB2312" w:cs="仿宋_GB2312"/>
          <w:sz w:val="32"/>
          <w:szCs w:val="32"/>
          <w:shd w:val="clear" w:color="auto" w:fill="FFFFFF"/>
          <w:lang w:eastAsia="zh-CN"/>
        </w:rPr>
        <w:t>政府信息公开率较低，</w:t>
      </w:r>
      <w:r>
        <w:rPr>
          <w:rFonts w:hint="eastAsia" w:ascii="仿宋_GB2312" w:eastAsia="仿宋_GB2312" w:cs="仿宋_GB2312"/>
          <w:sz w:val="32"/>
          <w:szCs w:val="32"/>
          <w:shd w:val="clear" w:color="auto" w:fill="FFFFFF"/>
        </w:rPr>
        <w:t>政务公开标准化规范化建设有待加强。</w:t>
      </w:r>
      <w:r>
        <w:rPr>
          <w:rFonts w:hint="eastAsia" w:ascii="仿宋_GB2312" w:eastAsia="仿宋_GB2312" w:cs="仿宋_GB2312"/>
          <w:sz w:val="32"/>
          <w:szCs w:val="32"/>
          <w:shd w:val="clear" w:color="auto" w:fill="FFFFFF"/>
          <w:lang w:eastAsia="zh-CN"/>
        </w:rPr>
        <w:t>三是</w:t>
      </w:r>
      <w:r>
        <w:rPr>
          <w:rFonts w:hint="eastAsia" w:ascii="仿宋_GB2312" w:eastAsia="仿宋_GB2312" w:cs="仿宋_GB2312"/>
          <w:sz w:val="32"/>
          <w:szCs w:val="32"/>
          <w:shd w:val="clear" w:color="auto" w:fill="FFFFFF"/>
        </w:rPr>
        <w:t>政务公开队伍专业化水平还需进一步提高。</w:t>
      </w: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420"/>
        <w:jc w:val="both"/>
        <w:textAlignment w:val="auto"/>
        <w:outlineLvl w:val="9"/>
        <w:rPr>
          <w:rStyle w:val="6"/>
          <w:rFonts w:hint="eastAsia" w:ascii="仿宋_GB2312" w:eastAsia="仿宋_GB2312" w:cs="仿宋_GB2312"/>
          <w:sz w:val="32"/>
          <w:szCs w:val="32"/>
          <w:shd w:val="clear" w:color="auto" w:fill="FFFFFF"/>
        </w:rPr>
      </w:pPr>
      <w:r>
        <w:rPr>
          <w:rFonts w:hint="eastAsia" w:ascii="楷体_GB2312" w:hAnsi="楷体_GB2312" w:eastAsia="楷体_GB2312" w:cs="楷体_GB2312"/>
          <w:i w:val="0"/>
          <w:caps w:val="0"/>
          <w:color w:val="auto"/>
          <w:spacing w:val="0"/>
          <w:kern w:val="2"/>
          <w:sz w:val="32"/>
          <w:szCs w:val="32"/>
          <w:shd w:val="clear" w:color="080000" w:fill="FFFFFF"/>
          <w:lang w:val="en-US" w:eastAsia="zh-CN" w:bidi="ar-SA"/>
        </w:rPr>
        <w:t>（二）改进措施</w:t>
      </w: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420"/>
        <w:jc w:val="both"/>
        <w:textAlignment w:val="auto"/>
        <w:outlineLvl w:val="9"/>
        <w:rPr>
          <w:rFonts w:hint="eastAsia" w:ascii="仿宋_GB2312" w:eastAsia="仿宋_GB2312" w:cs="仿宋_GB2312"/>
          <w:sz w:val="32"/>
          <w:szCs w:val="32"/>
          <w:shd w:val="clear" w:color="auto" w:fill="FFFFFF"/>
        </w:rPr>
      </w:pPr>
      <w:r>
        <w:rPr>
          <w:rFonts w:hint="eastAsia" w:ascii="仿宋_GB2312" w:eastAsia="仿宋_GB2312" w:cs="仿宋_GB2312"/>
          <w:sz w:val="32"/>
          <w:szCs w:val="32"/>
          <w:shd w:val="clear" w:color="auto" w:fill="FFFFFF"/>
          <w:lang w:val="en-US" w:eastAsia="zh-CN"/>
        </w:rPr>
        <w:t xml:space="preserve">  </w:t>
      </w:r>
      <w:r>
        <w:rPr>
          <w:rFonts w:hint="eastAsia" w:ascii="仿宋_GB2312" w:eastAsia="仿宋_GB2312" w:cs="仿宋_GB2312"/>
          <w:sz w:val="32"/>
          <w:szCs w:val="32"/>
          <w:shd w:val="clear" w:color="auto" w:fill="FFFFFF"/>
        </w:rPr>
        <w:t>一是完善政务公开制度体系。坚持以公开为常态、不公开为例外，加强政务信息管理，进一步完善政务公开的组织协调、保密审查、主动公开、依申请公开、政策解读、回应关切、政民互动、公众参与、平台建设等制度规范和工作流程体系。加大对社会各界关注度高、涉及群众切身利益、自然资源工作热点和亮点、创新与重大决定等信息的公开力度，切实丰富公开内容。二是加强政务公开标准化建设。对照政务公开标准目录，结合我局职能，将政务公开工作规则固化到现有业务流程中，做到政务公开操作与其他业务工作紧密结合、同步运作，通过线上线下全面准确公开目录事项，保障群众知情权、参与权及监督权。</w:t>
      </w:r>
      <w:r>
        <w:rPr>
          <w:rFonts w:hint="eastAsia" w:ascii="仿宋_GB2312" w:eastAsia="仿宋_GB2312" w:cs="仿宋_GB2312"/>
          <w:sz w:val="32"/>
          <w:szCs w:val="32"/>
          <w:shd w:val="clear" w:color="auto" w:fill="FFFFFF"/>
          <w:lang w:val="en-US" w:eastAsia="zh-CN"/>
        </w:rPr>
        <w:t>三是</w:t>
      </w:r>
      <w:r>
        <w:rPr>
          <w:rFonts w:hint="eastAsia" w:ascii="仿宋_GB2312" w:eastAsia="仿宋_GB2312" w:cs="仿宋_GB2312"/>
          <w:sz w:val="32"/>
          <w:szCs w:val="32"/>
          <w:shd w:val="clear" w:color="auto" w:fill="FFFFFF"/>
        </w:rPr>
        <w:t>加强政务信息公开队伍建设。邀请专职律师进行政府信息公开培训指导，提升工作人员素质</w:t>
      </w:r>
      <w:r>
        <w:rPr>
          <w:rFonts w:hint="eastAsia" w:ascii="仿宋_GB2312" w:eastAsia="仿宋_GB2312" w:cs="仿宋_GB2312"/>
          <w:sz w:val="32"/>
          <w:szCs w:val="32"/>
          <w:shd w:val="clear" w:color="auto" w:fill="FFFFFF"/>
          <w:lang w:eastAsia="zh-CN"/>
        </w:rPr>
        <w:t>。</w:t>
      </w:r>
    </w:p>
    <w:p>
      <w:pPr>
        <w:pStyle w:val="4"/>
        <w:widowControl/>
        <w:pBdr>
          <w:top w:val="none" w:color="auto" w:sz="0" w:space="0"/>
          <w:left w:val="none" w:color="auto" w:sz="0" w:space="0"/>
          <w:bottom w:val="none" w:color="auto" w:sz="0" w:space="0"/>
          <w:right w:val="none" w:color="auto" w:sz="0" w:space="0"/>
        </w:pBdr>
        <w:shd w:val="clear" w:color="070000" w:fill="FFFFFF"/>
        <w:wordWrap w:val="0"/>
        <w:adjustRightInd/>
        <w:snapToGrid/>
        <w:spacing w:before="0" w:beforeAutospacing="0" w:after="0" w:afterAutospacing="0" w:line="560" w:lineRule="exact"/>
        <w:ind w:left="0" w:right="0" w:firstLine="420"/>
        <w:jc w:val="both"/>
        <w:textAlignment w:val="auto"/>
        <w:outlineLvl w:val="9"/>
        <w:rPr>
          <w:rFonts w:hint="eastAsia" w:ascii="仿宋_GB2312" w:eastAsia="仿宋_GB2312" w:cs="仿宋_GB2312"/>
          <w:sz w:val="32"/>
          <w:szCs w:val="32"/>
          <w:shd w:val="clear" w:color="auto" w:fill="FFFFFF"/>
          <w:lang w:val="en-US" w:eastAsia="zh-CN"/>
        </w:rPr>
      </w:pPr>
      <w:r>
        <w:rPr>
          <w:rFonts w:hint="eastAsia" w:ascii="Times New Roman" w:hAnsi="Times New Roman" w:eastAsia="黑体" w:cs="黑体"/>
          <w:b w:val="0"/>
          <w:bCs/>
          <w:i w:val="0"/>
          <w:caps w:val="0"/>
          <w:color w:val="333333"/>
          <w:spacing w:val="0"/>
          <w:kern w:val="0"/>
          <w:sz w:val="32"/>
          <w:szCs w:val="32"/>
          <w:shd w:val="clear" w:color="0A0000" w:fill="FFFFFF"/>
          <w:lang w:val="en-US" w:eastAsia="zh-CN"/>
        </w:rPr>
        <w:t xml:space="preserve"> 六、其他需要报告的事项</w:t>
      </w:r>
    </w:p>
    <w:p>
      <w:pPr>
        <w:widowControl w:val="0"/>
        <w:numPr>
          <w:ilvl w:val="0"/>
          <w:numId w:val="1"/>
        </w:numPr>
        <w:wordWrap w:val="0"/>
        <w:adjustRightInd/>
        <w:snapToGrid/>
        <w:spacing w:line="560" w:lineRule="exact"/>
        <w:ind w:firstLine="642" w:firstLineChars="200"/>
        <w:textAlignment w:val="auto"/>
        <w:outlineLvl w:val="9"/>
        <w:rPr>
          <w:rFonts w:hint="eastAsia" w:ascii="Times New Roman" w:hAnsi="Times New Roman" w:eastAsia="仿宋_GB2312" w:cs="仿宋_GB2312"/>
          <w:color w:val="000000"/>
          <w:sz w:val="32"/>
          <w:szCs w:val="32"/>
          <w:lang w:val="en-US" w:eastAsia="zh-CN"/>
        </w:rPr>
      </w:pPr>
      <w:r>
        <w:rPr>
          <w:rFonts w:hint="eastAsia" w:ascii="楷体_GB2312" w:hAnsi="楷体_GB2312" w:eastAsia="楷体_GB2312" w:cs="楷体_GB2312"/>
          <w:b w:val="0"/>
          <w:bCs w:val="0"/>
          <w:sz w:val="32"/>
          <w:szCs w:val="32"/>
          <w:lang w:val="en-US" w:eastAsia="zh-CN"/>
        </w:rPr>
        <w:t>依据《政府信息公开信息处理费管理办法》收取信息处理费的情况</w:t>
      </w:r>
    </w:p>
    <w:p>
      <w:pPr>
        <w:widowControl w:val="0"/>
        <w:numPr>
          <w:numId w:val="0"/>
        </w:numPr>
        <w:wordWrap w:val="0"/>
        <w:adjustRightInd/>
        <w:snapToGrid/>
        <w:spacing w:line="560" w:lineRule="exact"/>
        <w:textAlignment w:val="auto"/>
        <w:outlineLvl w:val="9"/>
        <w:rPr>
          <w:rFonts w:hint="eastAsia" w:ascii="Times New Roman" w:hAnsi="Times New Roman" w:eastAsia="仿宋_GB2312" w:cs="仿宋_GB2312"/>
          <w:color w:val="000000"/>
          <w:sz w:val="32"/>
          <w:szCs w:val="32"/>
          <w:lang w:val="en-US" w:eastAsia="zh-CN"/>
        </w:rPr>
      </w:pPr>
      <w:r>
        <w:rPr>
          <w:rFonts w:hint="eastAsia" w:ascii="楷体_GB2312" w:hAnsi="楷体_GB2312" w:eastAsia="楷体_GB2312" w:cs="楷体_GB2312"/>
          <w:b w:val="0"/>
          <w:bCs w:val="0"/>
          <w:sz w:val="32"/>
          <w:szCs w:val="32"/>
          <w:lang w:val="en-US" w:eastAsia="zh-CN"/>
        </w:rPr>
        <w:t xml:space="preserve">    </w:t>
      </w:r>
      <w:r>
        <w:rPr>
          <w:rFonts w:hint="eastAsia" w:ascii="Times New Roman" w:hAnsi="Times New Roman" w:eastAsia="仿宋_GB2312" w:cs="仿宋_GB2312"/>
          <w:color w:val="000000"/>
          <w:sz w:val="32"/>
          <w:szCs w:val="32"/>
          <w:lang w:val="en-US" w:eastAsia="zh-CN"/>
        </w:rPr>
        <w:t>2023年度未收取依申请公开信息处理费。</w:t>
      </w:r>
    </w:p>
    <w:p>
      <w:pPr>
        <w:widowControl w:val="0"/>
        <w:numPr>
          <w:numId w:val="0"/>
        </w:numPr>
        <w:wordWrap w:val="0"/>
        <w:adjustRightInd/>
        <w:snapToGrid/>
        <w:spacing w:line="560" w:lineRule="exact"/>
        <w:ind w:firstLine="640" w:firstLineChars="200"/>
        <w:textAlignment w:val="auto"/>
        <w:outlineLvl w:val="9"/>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（二）</w:t>
      </w:r>
      <w:r>
        <w:rPr>
          <w:rFonts w:hint="eastAsia" w:ascii="楷体_GB2312" w:hAnsi="楷体_GB2312" w:eastAsia="楷体_GB2312" w:cs="楷体_GB2312"/>
          <w:b w:val="0"/>
          <w:bCs w:val="0"/>
          <w:sz w:val="32"/>
          <w:szCs w:val="32"/>
          <w:lang w:val="en-US" w:eastAsia="zh-CN"/>
        </w:rPr>
        <w:t>本年度人大代表建议和政协提案办理情况</w:t>
      </w:r>
    </w:p>
    <w:p>
      <w:pPr>
        <w:widowControl w:val="0"/>
        <w:numPr>
          <w:numId w:val="0"/>
        </w:numPr>
        <w:wordWrap w:val="0"/>
        <w:adjustRightInd/>
        <w:snapToGrid/>
        <w:spacing w:line="560" w:lineRule="exact"/>
        <w:ind w:firstLine="640" w:firstLineChars="200"/>
        <w:textAlignment w:val="auto"/>
        <w:outlineLvl w:val="9"/>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2023年度，我局共计承办人大建议和政协提案4件，其中人大建议共1件，政协建议3件，均已答复完毕，并于人大代表和政协代表进行解释，均已签字同意，完成率为100%。</w:t>
      </w:r>
    </w:p>
    <w:p>
      <w:pPr>
        <w:widowControl w:val="0"/>
        <w:numPr>
          <w:ilvl w:val="0"/>
          <w:numId w:val="2"/>
        </w:numPr>
        <w:wordWrap w:val="0"/>
        <w:adjustRightInd/>
        <w:snapToGrid/>
        <w:spacing w:line="560" w:lineRule="exact"/>
        <w:ind w:firstLine="642" w:firstLineChars="200"/>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本单位在政务公开制度、内容、形式和平台建设方面的创新实践情况</w:t>
      </w:r>
    </w:p>
    <w:p>
      <w:pPr>
        <w:widowControl w:val="0"/>
        <w:numPr>
          <w:numId w:val="0"/>
        </w:numPr>
        <w:wordWrap w:val="0"/>
        <w:adjustRightInd/>
        <w:snapToGrid/>
        <w:spacing w:line="560" w:lineRule="exact"/>
        <w:textAlignment w:val="auto"/>
        <w:outlineLvl w:val="9"/>
        <w:rPr>
          <w:rFonts w:hint="eastAsia" w:ascii="Times New Roman" w:hAnsi="Times New Roman" w:eastAsia="仿宋_GB2312" w:cs="仿宋_GB2312"/>
          <w:color w:val="FF0000"/>
          <w:sz w:val="32"/>
          <w:szCs w:val="32"/>
          <w:lang w:val="en-US" w:eastAsia="zh-CN"/>
        </w:rPr>
      </w:pPr>
      <w:r>
        <w:rPr>
          <w:rFonts w:hint="eastAsia" w:ascii="Times New Roman" w:hAnsi="Times New Roman" w:eastAsia="仿宋_GB2312" w:cs="仿宋_GB2312"/>
          <w:b w:val="0"/>
          <w:bCs w:val="0"/>
          <w:sz w:val="32"/>
          <w:szCs w:val="32"/>
          <w:lang w:val="en-US" w:eastAsia="zh-CN"/>
        </w:rPr>
        <w:t xml:space="preserve">    我局本着应公开尽公开的原则，对我局制作的政府信息进行合法及时的公开，对依申请公开的内容要求法规科室进行法制审核，对群众的疑问进行耐心解答。</w:t>
      </w:r>
    </w:p>
    <w:p>
      <w:pPr>
        <w:widowControl w:val="0"/>
        <w:numPr>
          <w:ilvl w:val="0"/>
          <w:numId w:val="2"/>
        </w:numPr>
        <w:wordWrap w:val="0"/>
        <w:adjustRightInd/>
        <w:snapToGrid/>
        <w:spacing w:line="560" w:lineRule="exact"/>
        <w:ind w:firstLine="642" w:firstLineChars="200"/>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《2023年张店区政务公开工作方案》落实情况</w:t>
      </w:r>
    </w:p>
    <w:p>
      <w:pPr>
        <w:widowControl w:val="0"/>
        <w:numPr>
          <w:numId w:val="0"/>
        </w:numPr>
        <w:wordWrap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一是领导高度重视，召开党组会议进行专题研究部署，形成形成“主要领导亲自抓、分管领导具体抓、责任科室合力抓、专人负责抓落实”的工作机制，确保政务公开工作的有序开展。二是</w:t>
      </w:r>
      <w:r>
        <w:rPr>
          <w:rFonts w:ascii="仿宋_GB2312" w:hAnsi="Times New Roman" w:eastAsia="仿宋_GB2312" w:cs="仿宋_GB2312"/>
          <w:color w:val="000000"/>
          <w:sz w:val="32"/>
          <w:szCs w:val="32"/>
        </w:rPr>
        <w:t>根据《</w:t>
      </w:r>
      <w:r>
        <w:rPr>
          <w:rFonts w:hint="eastAsia" w:ascii="Times New Roman" w:hAnsi="Times New Roman" w:eastAsia="宋体" w:cs="Times New Roman"/>
          <w:color w:val="000000"/>
          <w:sz w:val="32"/>
          <w:szCs w:val="32"/>
        </w:rPr>
        <w:t>2023</w:t>
      </w:r>
      <w:r>
        <w:rPr>
          <w:rFonts w:hint="eastAsia" w:ascii="仿宋_GB2312" w:hAnsi="Times New Roman" w:eastAsia="仿宋_GB2312" w:cs="仿宋_GB2312"/>
          <w:color w:val="000000"/>
          <w:sz w:val="32"/>
          <w:szCs w:val="32"/>
        </w:rPr>
        <w:t>年张店区政务公开工作方案》要求，制定</w:t>
      </w:r>
      <w:r>
        <w:rPr>
          <w:rFonts w:hint="eastAsia" w:ascii="仿宋_GB2312" w:hAnsi="Times New Roman" w:eastAsia="仿宋_GB2312" w:cs="仿宋_GB2312"/>
          <w:color w:val="000000"/>
          <w:sz w:val="32"/>
          <w:szCs w:val="32"/>
          <w:lang w:val="en-US" w:eastAsia="zh-CN"/>
        </w:rPr>
        <w:t>我局</w:t>
      </w:r>
      <w:r>
        <w:rPr>
          <w:rFonts w:hint="eastAsia" w:ascii="仿宋_GB2312" w:hAnsi="Times New Roman" w:eastAsia="仿宋_GB2312" w:cs="仿宋_GB2312"/>
          <w:color w:val="000000"/>
          <w:sz w:val="32"/>
          <w:szCs w:val="32"/>
        </w:rPr>
        <w:t>政务公开重点工作任务分解表，明确工作任务、工作要求、责任科室、时限要求等，压实科室单位公开责任，确保高标准完成各项目标任务。</w:t>
      </w:r>
    </w:p>
    <w:p>
      <w:pPr>
        <w:widowControl w:val="0"/>
        <w:numPr>
          <w:numId w:val="0"/>
        </w:numPr>
        <w:wordWrap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p>
    <w:p>
      <w:pPr>
        <w:widowControl w:val="0"/>
        <w:numPr>
          <w:numId w:val="0"/>
        </w:numPr>
        <w:wordWrap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淄博市自然资源和规划局张店分局</w:t>
      </w:r>
    </w:p>
    <w:p>
      <w:pPr>
        <w:widowControl w:val="0"/>
        <w:numPr>
          <w:numId w:val="0"/>
        </w:numPr>
        <w:wordWrap w:val="0"/>
        <w:adjustRightInd/>
        <w:snapToGrid/>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2024年1月18日</w:t>
      </w:r>
    </w:p>
    <w:sectPr>
      <w:footerReference r:id="rId4" w:type="default"/>
      <w:pgSz w:w="11906" w:h="16838"/>
      <w:pgMar w:top="2098" w:right="1474" w:bottom="1984" w:left="158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黑体"/>
        <w:kern w:val="2"/>
        <w:sz w:val="18"/>
        <w:szCs w:val="22"/>
        <w:lang w:val="en-US" w:eastAsia="zh-CN" w:bidi="ar-SA"/>
      </w:rPr>
      <w:pict>
        <v:rect id="文本框 1" o:spid="_x0000_s1025" style="position:absolute;left:0;margin-top:0pt;height:144pt;width:144pt;mso-position-horizontal:out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2"/>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5308331">
    <w:nsid w:val="65A4F0AB"/>
    <w:multiLevelType w:val="singleLevel"/>
    <w:tmpl w:val="65A4F0AB"/>
    <w:lvl w:ilvl="0" w:tentative="1">
      <w:start w:val="1"/>
      <w:numFmt w:val="chineseCounting"/>
      <w:suff w:val="nothing"/>
      <w:lvlText w:val="（%1）"/>
      <w:lvlJc w:val="left"/>
    </w:lvl>
  </w:abstractNum>
  <w:abstractNum w:abstractNumId="1705387823">
    <w:nsid w:val="65A6272F"/>
    <w:multiLevelType w:val="singleLevel"/>
    <w:tmpl w:val="65A6272F"/>
    <w:lvl w:ilvl="0" w:tentative="1">
      <w:start w:val="3"/>
      <w:numFmt w:val="chineseCounting"/>
      <w:suff w:val="nothing"/>
      <w:lvlText w:val="（%1）"/>
      <w:lvlJc w:val="left"/>
    </w:lvl>
  </w:abstractNum>
  <w:num w:numId="1">
    <w:abstractNumId w:val="1705308331"/>
  </w:num>
  <w:num w:numId="2">
    <w:abstractNumId w:val="17053878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OWJmNzVjZTcyNDEyM2M5MmMyNWExOTUwMWYyYmY5MzAifQ=="/>
  </w:docVars>
  <w:rsids>
    <w:rsidRoot w:val="11AF18C8"/>
    <w:rsid w:val="01CB1263"/>
    <w:rsid w:val="0D4D54AE"/>
    <w:rsid w:val="0D72249E"/>
    <w:rsid w:val="0E1D03B8"/>
    <w:rsid w:val="11AF18C8"/>
    <w:rsid w:val="141D2158"/>
    <w:rsid w:val="14A02B65"/>
    <w:rsid w:val="1A266A11"/>
    <w:rsid w:val="1A6A77C7"/>
    <w:rsid w:val="1EEF9D2B"/>
    <w:rsid w:val="1EF567A3"/>
    <w:rsid w:val="1EFED2BC"/>
    <w:rsid w:val="1F6FA78F"/>
    <w:rsid w:val="1F97332B"/>
    <w:rsid w:val="1FFB391B"/>
    <w:rsid w:val="220A0AE9"/>
    <w:rsid w:val="246B6FCE"/>
    <w:rsid w:val="267A2F26"/>
    <w:rsid w:val="297FAC76"/>
    <w:rsid w:val="2A8924AA"/>
    <w:rsid w:val="2DA7DE71"/>
    <w:rsid w:val="2DF97147"/>
    <w:rsid w:val="2F6F1AFF"/>
    <w:rsid w:val="2FAD00FC"/>
    <w:rsid w:val="2FD1CCE0"/>
    <w:rsid w:val="2FFFE3B9"/>
    <w:rsid w:val="33FFB2B4"/>
    <w:rsid w:val="33FFC301"/>
    <w:rsid w:val="3567E435"/>
    <w:rsid w:val="36092D19"/>
    <w:rsid w:val="37699AAC"/>
    <w:rsid w:val="37F7E421"/>
    <w:rsid w:val="39FF13E5"/>
    <w:rsid w:val="3AF2D530"/>
    <w:rsid w:val="3BBB6E46"/>
    <w:rsid w:val="3C7E7E4E"/>
    <w:rsid w:val="3DEE7C01"/>
    <w:rsid w:val="3EF6348E"/>
    <w:rsid w:val="3EFB61AD"/>
    <w:rsid w:val="3F2548AA"/>
    <w:rsid w:val="3F37CDAB"/>
    <w:rsid w:val="3F7FE9C5"/>
    <w:rsid w:val="3F9FBD48"/>
    <w:rsid w:val="3FAF0AAB"/>
    <w:rsid w:val="3FBF62C6"/>
    <w:rsid w:val="3FDFF999"/>
    <w:rsid w:val="3FFF26B4"/>
    <w:rsid w:val="42D3B604"/>
    <w:rsid w:val="47874069"/>
    <w:rsid w:val="48FF5436"/>
    <w:rsid w:val="4AAD18C0"/>
    <w:rsid w:val="4ABE2AA4"/>
    <w:rsid w:val="4B9FE3C2"/>
    <w:rsid w:val="4BC9F5B5"/>
    <w:rsid w:val="4BE90D9B"/>
    <w:rsid w:val="4DEDA4D5"/>
    <w:rsid w:val="4EDA594B"/>
    <w:rsid w:val="4FDFB8AE"/>
    <w:rsid w:val="4FEFE2F2"/>
    <w:rsid w:val="4FFBBC6E"/>
    <w:rsid w:val="506F30FD"/>
    <w:rsid w:val="54FBE57F"/>
    <w:rsid w:val="55BDBFC2"/>
    <w:rsid w:val="567444B5"/>
    <w:rsid w:val="57478A97"/>
    <w:rsid w:val="57AB6C62"/>
    <w:rsid w:val="57D7056B"/>
    <w:rsid w:val="597204CD"/>
    <w:rsid w:val="59DFD1AD"/>
    <w:rsid w:val="59FC080A"/>
    <w:rsid w:val="59FDCAFB"/>
    <w:rsid w:val="59FDDC8B"/>
    <w:rsid w:val="5ABF35A0"/>
    <w:rsid w:val="5ABF657F"/>
    <w:rsid w:val="5AF7DF0E"/>
    <w:rsid w:val="5BFFFB06"/>
    <w:rsid w:val="5C41066B"/>
    <w:rsid w:val="5DEF33E6"/>
    <w:rsid w:val="5DFDAE03"/>
    <w:rsid w:val="5EFF46B3"/>
    <w:rsid w:val="5F4F50E3"/>
    <w:rsid w:val="5F586D45"/>
    <w:rsid w:val="5F6A595A"/>
    <w:rsid w:val="5F7D608F"/>
    <w:rsid w:val="5FAF2704"/>
    <w:rsid w:val="5FCF4F74"/>
    <w:rsid w:val="5FFC97AA"/>
    <w:rsid w:val="5FFE7671"/>
    <w:rsid w:val="61EE642A"/>
    <w:rsid w:val="640A5F1B"/>
    <w:rsid w:val="645F063B"/>
    <w:rsid w:val="65ECF1BF"/>
    <w:rsid w:val="663FF422"/>
    <w:rsid w:val="6698303C"/>
    <w:rsid w:val="675A1E0A"/>
    <w:rsid w:val="676547E9"/>
    <w:rsid w:val="679E5140"/>
    <w:rsid w:val="67BA5745"/>
    <w:rsid w:val="67E43B26"/>
    <w:rsid w:val="697E7356"/>
    <w:rsid w:val="69FDEC77"/>
    <w:rsid w:val="6B2DDFAE"/>
    <w:rsid w:val="6B887A32"/>
    <w:rsid w:val="6BEF68BF"/>
    <w:rsid w:val="6DD37989"/>
    <w:rsid w:val="6DFF5019"/>
    <w:rsid w:val="6E2D2550"/>
    <w:rsid w:val="6FAC3CC5"/>
    <w:rsid w:val="6FFA3357"/>
    <w:rsid w:val="74CBDF4F"/>
    <w:rsid w:val="74DC48C7"/>
    <w:rsid w:val="75B7D147"/>
    <w:rsid w:val="75EF4115"/>
    <w:rsid w:val="75FF6493"/>
    <w:rsid w:val="77181135"/>
    <w:rsid w:val="77AFA716"/>
    <w:rsid w:val="77D0B492"/>
    <w:rsid w:val="77DDA94D"/>
    <w:rsid w:val="77F788A5"/>
    <w:rsid w:val="77FB2453"/>
    <w:rsid w:val="77FF16EB"/>
    <w:rsid w:val="79F145A3"/>
    <w:rsid w:val="79F7DD72"/>
    <w:rsid w:val="7A5F3BC1"/>
    <w:rsid w:val="7A7F5900"/>
    <w:rsid w:val="7AFF3652"/>
    <w:rsid w:val="7BBE7574"/>
    <w:rsid w:val="7BF565BA"/>
    <w:rsid w:val="7C2A32C5"/>
    <w:rsid w:val="7DB1BF67"/>
    <w:rsid w:val="7DEF83EB"/>
    <w:rsid w:val="7DFE5BF9"/>
    <w:rsid w:val="7DFFFB21"/>
    <w:rsid w:val="7E2F1AA9"/>
    <w:rsid w:val="7EDFCB2D"/>
    <w:rsid w:val="7F1FD345"/>
    <w:rsid w:val="7F4F628D"/>
    <w:rsid w:val="7F51DC5A"/>
    <w:rsid w:val="7F7D9FD8"/>
    <w:rsid w:val="7F7DB70C"/>
    <w:rsid w:val="7F7F00C0"/>
    <w:rsid w:val="7FAE99D6"/>
    <w:rsid w:val="7FAF0AA5"/>
    <w:rsid w:val="7FAFEE82"/>
    <w:rsid w:val="7FD52939"/>
    <w:rsid w:val="7FD601A3"/>
    <w:rsid w:val="7FE136D8"/>
    <w:rsid w:val="7FE33C58"/>
    <w:rsid w:val="7FEA594E"/>
    <w:rsid w:val="7FEEB283"/>
    <w:rsid w:val="7FF3C5F5"/>
    <w:rsid w:val="7FF687BD"/>
    <w:rsid w:val="7FFB7FD5"/>
    <w:rsid w:val="7FFF5995"/>
    <w:rsid w:val="7FFF5F2A"/>
    <w:rsid w:val="8CE3C832"/>
    <w:rsid w:val="937FF006"/>
    <w:rsid w:val="9BED0BAC"/>
    <w:rsid w:val="9BFA0E74"/>
    <w:rsid w:val="9BFFF7EF"/>
    <w:rsid w:val="9EF5BCA0"/>
    <w:rsid w:val="9F7FF7AB"/>
    <w:rsid w:val="9F9F6465"/>
    <w:rsid w:val="A6EC7140"/>
    <w:rsid w:val="B06F583F"/>
    <w:rsid w:val="B1FF84B5"/>
    <w:rsid w:val="B4FD23C0"/>
    <w:rsid w:val="B7531CC1"/>
    <w:rsid w:val="B7BDA605"/>
    <w:rsid w:val="B7E713BB"/>
    <w:rsid w:val="B7FD55C5"/>
    <w:rsid w:val="B9D665D3"/>
    <w:rsid w:val="BA1AFE2A"/>
    <w:rsid w:val="BADFBF21"/>
    <w:rsid w:val="BB9F4788"/>
    <w:rsid w:val="BBB72A76"/>
    <w:rsid w:val="BBF6167E"/>
    <w:rsid w:val="BC773C7A"/>
    <w:rsid w:val="BCCA878B"/>
    <w:rsid w:val="BD17DCC4"/>
    <w:rsid w:val="BE1A4601"/>
    <w:rsid w:val="BEFB5364"/>
    <w:rsid w:val="BF3F4EDD"/>
    <w:rsid w:val="BF9CA563"/>
    <w:rsid w:val="BFA4314D"/>
    <w:rsid w:val="BFCDB3D4"/>
    <w:rsid w:val="BFCE6BBB"/>
    <w:rsid w:val="BFCFD74B"/>
    <w:rsid w:val="BFD9F1B6"/>
    <w:rsid w:val="BFFB7E30"/>
    <w:rsid w:val="BFFF1E60"/>
    <w:rsid w:val="BFFF632F"/>
    <w:rsid w:val="BFFF6FDD"/>
    <w:rsid w:val="CBFFD682"/>
    <w:rsid w:val="CE7E936C"/>
    <w:rsid w:val="CFEE1893"/>
    <w:rsid w:val="CFEF45BC"/>
    <w:rsid w:val="D169A40B"/>
    <w:rsid w:val="D3F79759"/>
    <w:rsid w:val="D4FA0C26"/>
    <w:rsid w:val="D749D24F"/>
    <w:rsid w:val="D7B9167B"/>
    <w:rsid w:val="DAEFFD6D"/>
    <w:rsid w:val="DB7F579F"/>
    <w:rsid w:val="DBE9D810"/>
    <w:rsid w:val="DBF81840"/>
    <w:rsid w:val="DBFFB4A6"/>
    <w:rsid w:val="DDE6AEB6"/>
    <w:rsid w:val="DDE7507C"/>
    <w:rsid w:val="DDF61B0D"/>
    <w:rsid w:val="DE2FBA7D"/>
    <w:rsid w:val="DE7FF687"/>
    <w:rsid w:val="DEDFFAA1"/>
    <w:rsid w:val="DF7F1EB8"/>
    <w:rsid w:val="DF7FDB36"/>
    <w:rsid w:val="DF9EBCDA"/>
    <w:rsid w:val="DFA799CC"/>
    <w:rsid w:val="DFBF65D5"/>
    <w:rsid w:val="DFDA111C"/>
    <w:rsid w:val="DFFEBADC"/>
    <w:rsid w:val="DFFFF1D6"/>
    <w:rsid w:val="EB739338"/>
    <w:rsid w:val="EBCB7DBE"/>
    <w:rsid w:val="ED5FDAB5"/>
    <w:rsid w:val="EDD9EA72"/>
    <w:rsid w:val="EEB55AE4"/>
    <w:rsid w:val="EEB7ADF7"/>
    <w:rsid w:val="EEFF5DC1"/>
    <w:rsid w:val="EF6517DA"/>
    <w:rsid w:val="EF779708"/>
    <w:rsid w:val="EF7B8356"/>
    <w:rsid w:val="F1BF809A"/>
    <w:rsid w:val="F3DF1E36"/>
    <w:rsid w:val="F3FB2AF5"/>
    <w:rsid w:val="F3FD79C6"/>
    <w:rsid w:val="F57FE209"/>
    <w:rsid w:val="F6FFA011"/>
    <w:rsid w:val="F77EF1DF"/>
    <w:rsid w:val="F7BF29DD"/>
    <w:rsid w:val="F7C6E28F"/>
    <w:rsid w:val="F7DF3BA0"/>
    <w:rsid w:val="F7F38E38"/>
    <w:rsid w:val="F83DEEAF"/>
    <w:rsid w:val="F8B3BE0D"/>
    <w:rsid w:val="F8BD1FB4"/>
    <w:rsid w:val="F8FF8C9A"/>
    <w:rsid w:val="F9D74DC4"/>
    <w:rsid w:val="FADFE440"/>
    <w:rsid w:val="FAF6D81D"/>
    <w:rsid w:val="FB763391"/>
    <w:rsid w:val="FB9E5F7D"/>
    <w:rsid w:val="FBBB334B"/>
    <w:rsid w:val="FBEFE45A"/>
    <w:rsid w:val="FBF3E1DF"/>
    <w:rsid w:val="FCEAC882"/>
    <w:rsid w:val="FCFB72AD"/>
    <w:rsid w:val="FD7D6D59"/>
    <w:rsid w:val="FDA37375"/>
    <w:rsid w:val="FDB5CE77"/>
    <w:rsid w:val="FDF36F88"/>
    <w:rsid w:val="FED7CB58"/>
    <w:rsid w:val="FEEF09AD"/>
    <w:rsid w:val="FEF2E319"/>
    <w:rsid w:val="FEF65CBA"/>
    <w:rsid w:val="FEF796C4"/>
    <w:rsid w:val="FEFD2F8A"/>
    <w:rsid w:val="FF5F1BC6"/>
    <w:rsid w:val="FF740761"/>
    <w:rsid w:val="FF7F4FCA"/>
    <w:rsid w:val="FF976806"/>
    <w:rsid w:val="FFB6A4CE"/>
    <w:rsid w:val="FFBFB1B6"/>
    <w:rsid w:val="FFC6A744"/>
    <w:rsid w:val="FFDA0F91"/>
    <w:rsid w:val="FFEFBE9D"/>
    <w:rsid w:val="FFF77BB1"/>
    <w:rsid w:val="FFF7A4C2"/>
    <w:rsid w:val="FFFB156F"/>
    <w:rsid w:val="FFFF30E5"/>
    <w:rsid w:val="FFFF698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Style w:val="7"/>
      <w:tblLayout w:type="fixed"/>
      <w:tblCellMar>
        <w:top w:w="0" w:type="dxa"/>
        <w:left w:w="108" w:type="dxa"/>
        <w:bottom w:w="0" w:type="dxa"/>
        <w:right w:w="108" w:type="dxa"/>
      </w:tblCellMar>
    </w:tblPr>
    <w:tcPr>
      <w:textDirection w:val="lrTb"/>
    </w:tc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Office_9.1.0.5113_F1E327BC-269C-435d-A152-05C5408002CA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2023-01-21T07:45:00Z</dcterms:created>
  <dc:creator>诗人与熊</dc:creator>
  <cp:lastModifiedBy>A</cp:lastModifiedBy>
  <cp:lastPrinted>2024-01-16T06:44:00Z</cp:lastPrinted>
  <dcterms:modified xsi:type="dcterms:W3CDTF">2024-01-26T02:12:12Z</dcterms:modified>
  <dc:title>附件3</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2052-9.1.0.5113</vt:lpwstr>
  </property>
  <property fmtid="{D5CDD505-2E9C-101B-9397-08002B2CF9AE}" pid="3" name="ICV">
    <vt:lpwstr>AA997AA0745C4772A4196D817533ED9B</vt:lpwstr>
  </property>
</Properties>
</file>